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sz w:val="2"/>
        </w:rPr>
        <w:id w:val="640387340"/>
        <w:docPartObj>
          <w:docPartGallery w:val="Cover Pages"/>
          <w:docPartUnique/>
        </w:docPartObj>
      </w:sdtPr>
      <w:sdtEndPr>
        <w:rPr>
          <w:sz w:val="40"/>
          <w:szCs w:val="40"/>
        </w:rPr>
      </w:sdtEndPr>
      <w:sdtContent>
        <w:p w14:paraId="32709E9A" w14:textId="77777777" w:rsidR="00C85D48" w:rsidRDefault="00C85D48" w:rsidP="00C85D48">
          <w:pPr>
            <w:pStyle w:val="NoSpacing"/>
            <w:rPr>
              <w:sz w:val="2"/>
            </w:rPr>
          </w:pPr>
          <w:r w:rsidRPr="00B815B2">
            <w:rPr>
              <w:rFonts w:ascii="Calibri" w:eastAsia="Times New Roman" w:hAnsi="Calibri" w:cs="Times New Roman"/>
              <w:noProof/>
              <w:lang w:eastAsia="lv-LV"/>
            </w:rPr>
            <w:drawing>
              <wp:anchor distT="0" distB="0" distL="114300" distR="114300" simplePos="0" relativeHeight="251664384" behindDoc="0" locked="0" layoutInCell="1" allowOverlap="1" wp14:anchorId="371E9FED" wp14:editId="2CEA17F2">
                <wp:simplePos x="0" y="0"/>
                <wp:positionH relativeFrom="margin">
                  <wp:align>center</wp:align>
                </wp:positionH>
                <wp:positionV relativeFrom="paragraph">
                  <wp:posOffset>8021</wp:posOffset>
                </wp:positionV>
                <wp:extent cx="5093335" cy="1233805"/>
                <wp:effectExtent l="0" t="0" r="0" b="4445"/>
                <wp:wrapSquare wrapText="bothSides"/>
                <wp:docPr id="47" name="Attēls 47" descr="C:\Users\vikto\OneDrive\Desktop\Sirdsdarbiņš\лл\logo__es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kto\OneDrive\Desktop\Sirdsdarbiņš\лл\logo__esf.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93335" cy="1233805"/>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rFonts w:ascii="Arial" w:eastAsia="Times New Roman" w:hAnsi="Arial" w:cs="Arial"/>
              <w:b/>
              <w:iCs/>
              <w:color w:val="2E74B5" w:themeColor="accent5" w:themeShade="BF"/>
              <w:sz w:val="36"/>
              <w:szCs w:val="28"/>
            </w:rPr>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14:paraId="43061365" w14:textId="37D34471" w:rsidR="000B7801" w:rsidRPr="00B815B2" w:rsidRDefault="000B7801" w:rsidP="000B7801">
              <w:pPr>
                <w:pStyle w:val="NoSpacing"/>
                <w:rPr>
                  <w:rFonts w:asciiTheme="majorHAnsi" w:eastAsiaTheme="majorEastAsia" w:hAnsiTheme="majorHAnsi" w:cstheme="majorBidi"/>
                  <w:caps/>
                  <w:color w:val="8496B0" w:themeColor="text2" w:themeTint="99"/>
                  <w:sz w:val="68"/>
                  <w:szCs w:val="68"/>
                </w:rPr>
              </w:pPr>
              <w:proofErr w:type="spellStart"/>
              <w:r w:rsidRPr="00E627D5">
                <w:rPr>
                  <w:rFonts w:ascii="Arial" w:eastAsia="Times New Roman" w:hAnsi="Arial" w:cs="Arial"/>
                  <w:b/>
                  <w:iCs/>
                  <w:color w:val="2E74B5" w:themeColor="accent5" w:themeShade="BF"/>
                  <w:sz w:val="36"/>
                  <w:szCs w:val="28"/>
                </w:rPr>
                <w:t>Vidusposma</w:t>
              </w:r>
              <w:proofErr w:type="spellEnd"/>
              <w:r w:rsidRPr="00E627D5">
                <w:rPr>
                  <w:rFonts w:ascii="Arial" w:eastAsia="Times New Roman" w:hAnsi="Arial" w:cs="Arial"/>
                  <w:b/>
                  <w:iCs/>
                  <w:color w:val="2E74B5" w:themeColor="accent5" w:themeShade="BF"/>
                  <w:sz w:val="36"/>
                  <w:szCs w:val="28"/>
                </w:rPr>
                <w:t xml:space="preserve"> </w:t>
              </w:r>
              <w:proofErr w:type="spellStart"/>
              <w:r w:rsidRPr="00E627D5">
                <w:rPr>
                  <w:rFonts w:ascii="Arial" w:eastAsia="Times New Roman" w:hAnsi="Arial" w:cs="Arial"/>
                  <w:b/>
                  <w:iCs/>
                  <w:color w:val="2E74B5" w:themeColor="accent5" w:themeShade="BF"/>
                  <w:sz w:val="36"/>
                  <w:szCs w:val="28"/>
                </w:rPr>
                <w:t>izvērtējums</w:t>
              </w:r>
              <w:proofErr w:type="spellEnd"/>
              <w:r w:rsidRPr="00E627D5">
                <w:rPr>
                  <w:rFonts w:ascii="Arial" w:eastAsia="Times New Roman" w:hAnsi="Arial" w:cs="Arial"/>
                  <w:b/>
                  <w:iCs/>
                  <w:color w:val="2E74B5" w:themeColor="accent5" w:themeShade="BF"/>
                  <w:sz w:val="36"/>
                  <w:szCs w:val="28"/>
                </w:rPr>
                <w:t xml:space="preserve"> par sociālās atstumtības un diskriminācijas riskam pakļauto personu situācijas izmaiņām</w:t>
              </w:r>
            </w:p>
          </w:sdtContent>
        </w:sdt>
        <w:p w14:paraId="5B22D704" w14:textId="4BB1EE02" w:rsidR="000B7801" w:rsidRPr="00B815B2" w:rsidRDefault="000B7801" w:rsidP="000B7801">
          <w:pPr>
            <w:pStyle w:val="NoSpacing"/>
            <w:spacing w:before="120"/>
            <w:rPr>
              <w:noProof/>
            </w:rPr>
          </w:pPr>
          <w:sdt>
            <w:sdtPr>
              <w:rPr>
                <w:rFonts w:ascii="Arial" w:eastAsia="Times New Roman" w:hAnsi="Arial" w:cs="Arial"/>
                <w:iCs/>
                <w:color w:val="2E74B5" w:themeColor="accent5" w:themeShade="BF"/>
                <w:sz w:val="36"/>
                <w:szCs w:val="28"/>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Pr="000B7801">
                <w:rPr>
                  <w:rFonts w:ascii="Arial" w:eastAsia="Times New Roman" w:hAnsi="Arial" w:cs="Arial"/>
                  <w:iCs/>
                  <w:color w:val="2E74B5" w:themeColor="accent5" w:themeShade="BF"/>
                  <w:sz w:val="36"/>
                  <w:szCs w:val="28"/>
                </w:rPr>
                <w:t>Nr. SIF 2019/5</w:t>
              </w:r>
            </w:sdtContent>
          </w:sdt>
          <w:r w:rsidRPr="00B815B2">
            <w:rPr>
              <w:noProof/>
            </w:rPr>
            <w:t xml:space="preserve"> </w:t>
          </w:r>
        </w:p>
        <w:p w14:paraId="25815450" w14:textId="046215EE" w:rsidR="00C85D48" w:rsidRDefault="00C85D48" w:rsidP="00C85D48">
          <w:r>
            <w:rPr>
              <w:noProof/>
              <w:color w:val="4472C4" w:themeColor="accent1"/>
              <w:sz w:val="36"/>
              <w:szCs w:val="36"/>
              <w:lang w:eastAsia="lv-LV"/>
            </w:rPr>
            <mc:AlternateContent>
              <mc:Choice Requires="wpg">
                <w:drawing>
                  <wp:anchor distT="0" distB="0" distL="114300" distR="114300" simplePos="0" relativeHeight="251660288" behindDoc="1" locked="0" layoutInCell="1" allowOverlap="1" wp14:anchorId="2BA57861" wp14:editId="0607F670">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9"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14" name="Freeform 1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73475EC0" id="Group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">
                    <o:lock v:ext="edit" aspectratio="t"/>
                    <v:shape id="Freeform 1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" path="m4,1786l,1782,1776,r5,5l4,1786xe" filled="f" stroked="f">
                      <v:path arrowok="t" o:connecttype="custom" o:connectlocs="6350,2835275;0,2828925;2819400,0;2827338,7938;6350,2835275" o:connectangles="0,0,0,0,0"/>
                    </v:shape>
                    <v:shape id="Freeform 22"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" path="m5,2234l,2229,2229,r5,5l5,2234xe" filled="f" stroked="f">
                      <v:path arrowok="t" o:connecttype="custom" o:connectlocs="7938,3546475;0,3538538;3538538,0;3546475,7938;7938,3546475" o:connectangles="0,0,0,0,0"/>
                    </v:shape>
                    <v:shape id="Freeform 23"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" path="m9,2197l,2193,2188,r9,10l9,2197xe" filled="f" stroked="f">
                      <v:path arrowok="t" o:connecttype="custom" o:connectlocs="14288,3487738;0,3481388;3473450,0;3487738,15875;14288,3487738" o:connectangles="0,0,0,0,0"/>
                    </v:shape>
                    <v:shape id="Freeform 2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" path="m9,1966l,1957,1952,r9,9l9,1966xe" filled="f" stroked="f">
                      <v:path arrowok="t" o:connecttype="custom" o:connectlocs="14288,3121025;0,3106738;3098800,0;3113088,14288;14288,3121025" o:connectangles="0,0,0,0,0"/>
                    </v:shape>
                    <v:shape id="Freeform 2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p>
      </w:sdtContent>
    </w:sdt>
    <w:p w14:paraId="23B2757D" w14:textId="77777777" w:rsidR="004D64C5" w:rsidRDefault="004D64C5" w:rsidP="000B7801">
      <w:pPr>
        <w:jc w:val="center"/>
        <w:rPr>
          <w:rFonts w:ascii="Arial" w:eastAsia="Times New Roman" w:hAnsi="Arial" w:cs="Arial"/>
          <w:b/>
          <w:iCs/>
          <w:color w:val="2F5496"/>
          <w:sz w:val="52"/>
          <w:szCs w:val="52"/>
        </w:rPr>
      </w:pPr>
      <w:bookmarkStart w:id="0" w:name="_Toc33205650"/>
      <w:bookmarkStart w:id="1" w:name="_GoBack"/>
      <w:bookmarkEnd w:id="1"/>
    </w:p>
    <w:p w14:paraId="33B45A65" w14:textId="77777777" w:rsidR="004D64C5" w:rsidRDefault="004D64C5" w:rsidP="000B7801">
      <w:pPr>
        <w:jc w:val="center"/>
        <w:rPr>
          <w:rFonts w:ascii="Arial" w:eastAsia="Times New Roman" w:hAnsi="Arial" w:cs="Arial"/>
          <w:b/>
          <w:iCs/>
          <w:color w:val="2F5496"/>
          <w:sz w:val="52"/>
          <w:szCs w:val="52"/>
        </w:rPr>
      </w:pPr>
    </w:p>
    <w:p w14:paraId="7F44FA25" w14:textId="77777777" w:rsidR="004D64C5" w:rsidRDefault="004D64C5" w:rsidP="000B7801">
      <w:pPr>
        <w:jc w:val="center"/>
        <w:rPr>
          <w:rFonts w:ascii="Arial" w:eastAsia="Times New Roman" w:hAnsi="Arial" w:cs="Arial"/>
          <w:b/>
          <w:iCs/>
          <w:color w:val="2F5496"/>
          <w:sz w:val="52"/>
          <w:szCs w:val="52"/>
        </w:rPr>
      </w:pPr>
    </w:p>
    <w:p w14:paraId="3DA56A57" w14:textId="28FCA4A4" w:rsidR="000B7801" w:rsidRPr="000B7801" w:rsidRDefault="000B7801" w:rsidP="000B7801">
      <w:pPr>
        <w:jc w:val="center"/>
        <w:rPr>
          <w:rFonts w:ascii="Arial" w:eastAsia="Times New Roman" w:hAnsi="Arial" w:cs="Arial"/>
          <w:b/>
          <w:iCs/>
          <w:color w:val="2F5496"/>
          <w:sz w:val="52"/>
          <w:szCs w:val="52"/>
        </w:rPr>
      </w:pPr>
      <w:r>
        <w:rPr>
          <w:rFonts w:ascii="Arial" w:eastAsia="Times New Roman" w:hAnsi="Arial" w:cs="Arial"/>
          <w:b/>
          <w:iCs/>
          <w:color w:val="2F5496"/>
          <w:sz w:val="52"/>
          <w:szCs w:val="52"/>
        </w:rPr>
        <w:t>KOPSAVILKUMS</w:t>
      </w:r>
    </w:p>
    <w:p w14:paraId="4479F002" w14:textId="77777777" w:rsidR="000B7801" w:rsidRDefault="000B7801" w:rsidP="00C85D48">
      <w:pPr>
        <w:jc w:val="center"/>
        <w:rPr>
          <w:rFonts w:ascii="Arial" w:eastAsia="Times New Roman" w:hAnsi="Arial" w:cs="Arial"/>
          <w:b/>
          <w:iCs/>
          <w:color w:val="2F5496"/>
          <w:sz w:val="28"/>
          <w:szCs w:val="28"/>
        </w:rPr>
      </w:pPr>
      <w:r>
        <w:rPr>
          <w:rFonts w:ascii="Arial" w:eastAsia="Times New Roman" w:hAnsi="Arial" w:cs="Arial"/>
          <w:b/>
          <w:iCs/>
          <w:color w:val="2F5496"/>
          <w:sz w:val="28"/>
          <w:szCs w:val="28"/>
        </w:rPr>
        <w:br w:type="page"/>
      </w:r>
    </w:p>
    <w:p w14:paraId="3D55E266" w14:textId="7BE2BD02" w:rsidR="00C85D48" w:rsidRPr="00C85D48" w:rsidRDefault="00C85D48" w:rsidP="00C85D48">
      <w:pPr>
        <w:jc w:val="center"/>
        <w:rPr>
          <w:rFonts w:ascii="Arial" w:eastAsia="Times New Roman" w:hAnsi="Arial" w:cs="Arial"/>
          <w:b/>
          <w:iCs/>
          <w:color w:val="2F5496"/>
          <w:sz w:val="28"/>
          <w:szCs w:val="28"/>
        </w:rPr>
      </w:pPr>
      <w:r w:rsidRPr="00C85D48">
        <w:rPr>
          <w:rFonts w:ascii="Arial" w:eastAsia="Times New Roman" w:hAnsi="Arial" w:cs="Arial"/>
          <w:b/>
          <w:iCs/>
          <w:color w:val="2F5496"/>
          <w:sz w:val="28"/>
          <w:szCs w:val="28"/>
        </w:rPr>
        <w:lastRenderedPageBreak/>
        <w:t>Kopsavilkums</w:t>
      </w:r>
      <w:bookmarkEnd w:id="0"/>
      <w:r w:rsidRPr="00C85D48">
        <w:rPr>
          <w:rFonts w:ascii="Arial" w:eastAsia="Times New Roman" w:hAnsi="Arial" w:cs="Arial"/>
          <w:b/>
          <w:iCs/>
          <w:color w:val="2F5496"/>
          <w:sz w:val="28"/>
          <w:szCs w:val="28"/>
        </w:rPr>
        <w:t xml:space="preserve"> </w:t>
      </w:r>
    </w:p>
    <w:p w14:paraId="22DB2811" w14:textId="77777777" w:rsidR="00C85D48" w:rsidRPr="00C85D48" w:rsidRDefault="00C85D48" w:rsidP="00C85D48">
      <w:pPr>
        <w:shd w:val="clear" w:color="auto" w:fill="FFFFFF"/>
        <w:spacing w:line="240" w:lineRule="auto"/>
        <w:jc w:val="both"/>
        <w:rPr>
          <w:rFonts w:ascii="Arial" w:eastAsia="Times New Roman" w:hAnsi="Arial" w:cs="Arial"/>
          <w:color w:val="595959"/>
          <w:sz w:val="20"/>
          <w:szCs w:val="20"/>
          <w:lang w:eastAsia="lv-LV"/>
        </w:rPr>
      </w:pPr>
      <w:proofErr w:type="spellStart"/>
      <w:r w:rsidRPr="00C85D48">
        <w:rPr>
          <w:rFonts w:ascii="Arial" w:eastAsia="Times New Roman" w:hAnsi="Arial" w:cs="Arial"/>
          <w:b/>
          <w:bCs/>
          <w:color w:val="595959"/>
          <w:sz w:val="20"/>
          <w:szCs w:val="20"/>
          <w:lang w:eastAsia="lv-LV"/>
        </w:rPr>
        <w:t>Izvērtējuma</w:t>
      </w:r>
      <w:proofErr w:type="spellEnd"/>
      <w:r w:rsidRPr="00C85D48">
        <w:rPr>
          <w:rFonts w:ascii="Arial" w:eastAsia="Times New Roman" w:hAnsi="Arial" w:cs="Arial"/>
          <w:b/>
          <w:bCs/>
          <w:color w:val="595959"/>
          <w:sz w:val="20"/>
          <w:szCs w:val="20"/>
          <w:lang w:eastAsia="lv-LV"/>
        </w:rPr>
        <w:t xml:space="preserve"> objekts</w:t>
      </w:r>
      <w:r w:rsidRPr="00C85D48">
        <w:rPr>
          <w:rFonts w:ascii="Arial" w:eastAsia="Times New Roman" w:hAnsi="Arial" w:cs="Arial"/>
          <w:color w:val="595959"/>
          <w:sz w:val="20"/>
          <w:szCs w:val="20"/>
          <w:lang w:eastAsia="lv-LV"/>
        </w:rPr>
        <w:t xml:space="preserve"> saskaņā ar </w:t>
      </w:r>
      <w:proofErr w:type="spellStart"/>
      <w:r w:rsidRPr="00C85D48">
        <w:rPr>
          <w:rFonts w:ascii="Arial" w:eastAsia="Times New Roman" w:hAnsi="Arial" w:cs="Arial"/>
          <w:color w:val="595959"/>
          <w:sz w:val="20"/>
          <w:szCs w:val="20"/>
          <w:lang w:eastAsia="lv-LV"/>
        </w:rPr>
        <w:t>Vidusposma</w:t>
      </w:r>
      <w:proofErr w:type="spellEnd"/>
      <w:r w:rsidRPr="00C85D48">
        <w:rPr>
          <w:rFonts w:ascii="Arial" w:eastAsia="Times New Roman" w:hAnsi="Arial" w:cs="Arial"/>
          <w:color w:val="595959"/>
          <w:sz w:val="20"/>
          <w:szCs w:val="20"/>
          <w:lang w:eastAsia="lv-LV"/>
        </w:rPr>
        <w:t xml:space="preserve"> </w:t>
      </w:r>
      <w:proofErr w:type="spellStart"/>
      <w:r w:rsidRPr="00C85D48">
        <w:rPr>
          <w:rFonts w:ascii="Arial" w:eastAsia="Times New Roman" w:hAnsi="Arial" w:cs="Arial"/>
          <w:color w:val="595959"/>
          <w:sz w:val="20"/>
          <w:szCs w:val="20"/>
          <w:lang w:eastAsia="lv-LV"/>
        </w:rPr>
        <w:t>izvērtējuma</w:t>
      </w:r>
      <w:proofErr w:type="spellEnd"/>
      <w:r w:rsidRPr="00C85D48">
        <w:rPr>
          <w:rFonts w:ascii="Arial" w:eastAsia="Times New Roman" w:hAnsi="Arial" w:cs="Arial"/>
          <w:color w:val="595959"/>
          <w:sz w:val="20"/>
          <w:szCs w:val="20"/>
          <w:lang w:eastAsia="lv-LV"/>
        </w:rPr>
        <w:t xml:space="preserve"> iepirkuma Tehniskajā specifikācijā norādīto  ir programma “Motivācijas paaugstināšanas un atbalsta pakalpojumu nodrošināšana sociālās atstumtības un diskriminācijas riskam pakļautām personu grupām” (turpmāk – motivācijas programma). Programma tiek īstenota Darbības programmas "Izaugsme un nodarbinātība" 9.1.4. specifiskā atbalsta mērķa "Palielināt diskriminācijas riskiem pakļauto personu integrāciju sabiedrībā un darba tirgū" 9.1.4.4. pasākuma "Dažādību veicināšana (diskriminācijas novēršana)" īstenotā projekta </w:t>
      </w:r>
      <w:r w:rsidRPr="00C85D48">
        <w:rPr>
          <w:rFonts w:ascii="Arial" w:eastAsia="Times New Roman" w:hAnsi="Arial" w:cs="Arial"/>
          <w:bCs/>
          <w:color w:val="595959"/>
          <w:sz w:val="20"/>
          <w:szCs w:val="20"/>
          <w:lang w:eastAsia="lv-LV"/>
        </w:rPr>
        <w:t>"Dažādības veicināšana" (turpmāk -projekta) ietvaros</w:t>
      </w:r>
      <w:r w:rsidRPr="00C85D48">
        <w:rPr>
          <w:rFonts w:ascii="Arial" w:eastAsia="Times New Roman" w:hAnsi="Arial" w:cs="Arial"/>
          <w:color w:val="595959"/>
          <w:sz w:val="20"/>
          <w:szCs w:val="20"/>
          <w:lang w:eastAsia="lv-LV"/>
        </w:rPr>
        <w:t>. Projekta īstenošanu reglamentē Ministru kabineta noteikumi Nr. 102 “Darbības programmas "Izaugsme un nodarbinātība" 9.1.4. specifiskā atbalsta mērķa "Palielināt diskriminācijas riskiem pakļauto personu integrāciju sabiedrībā un darba tirgū" 9.1.4.4. pasākuma "Dažādību veicināšana (diskriminācijas novēršana)" īstenošanas noteikumi”, kas izdoti Rīgā, 2016. gada 9. februārī. Projektu īsteno Sabiedrības integrācijas fonds (turpmāk – SIF) sadarbībā ar Pilsonības un migrācijas lietu pārvaldi un Nodrošinājuma valsts aģentūru. Projekta īstenošanu uzrauga Labklājības ministrijas (turpmāk – LM) izveidota uzraudzības padome</w:t>
      </w:r>
      <w:r w:rsidRPr="00C85D48">
        <w:rPr>
          <w:rFonts w:ascii="Arial" w:eastAsia="Times New Roman" w:hAnsi="Arial" w:cs="Arial"/>
          <w:color w:val="595959"/>
          <w:sz w:val="20"/>
          <w:szCs w:val="20"/>
          <w:vertAlign w:val="superscript"/>
          <w:lang w:eastAsia="lv-LV"/>
        </w:rPr>
        <w:footnoteReference w:id="1"/>
      </w:r>
      <w:r w:rsidRPr="00C85D48">
        <w:rPr>
          <w:rFonts w:ascii="Arial" w:eastAsia="Times New Roman" w:hAnsi="Arial" w:cs="Arial"/>
          <w:color w:val="595959"/>
          <w:sz w:val="20"/>
          <w:szCs w:val="20"/>
          <w:lang w:eastAsia="lv-LV"/>
        </w:rPr>
        <w:t xml:space="preserve">. </w:t>
      </w:r>
    </w:p>
    <w:p w14:paraId="4C9CD2D1" w14:textId="77777777" w:rsidR="00C85D48" w:rsidRPr="00C85D48" w:rsidRDefault="00C85D48" w:rsidP="00C85D48">
      <w:pPr>
        <w:jc w:val="both"/>
        <w:rPr>
          <w:rFonts w:ascii="Arial" w:eastAsia="Times New Roman" w:hAnsi="Arial" w:cs="Arial"/>
          <w:color w:val="595959"/>
          <w:sz w:val="20"/>
          <w:szCs w:val="20"/>
          <w:lang w:eastAsia="lv-LV"/>
        </w:rPr>
      </w:pPr>
      <w:proofErr w:type="spellStart"/>
      <w:r w:rsidRPr="00C85D48">
        <w:rPr>
          <w:rFonts w:ascii="Arial" w:eastAsia="Times New Roman" w:hAnsi="Arial" w:cs="Arial"/>
          <w:b/>
          <w:bCs/>
          <w:color w:val="595959"/>
          <w:sz w:val="20"/>
          <w:szCs w:val="20"/>
          <w:lang w:eastAsia="lv-LV"/>
        </w:rPr>
        <w:t>Izvērtējuma</w:t>
      </w:r>
      <w:proofErr w:type="spellEnd"/>
      <w:r w:rsidRPr="00C85D48">
        <w:rPr>
          <w:rFonts w:ascii="Arial" w:eastAsia="Times New Roman" w:hAnsi="Arial" w:cs="Arial"/>
          <w:b/>
          <w:bCs/>
          <w:color w:val="595959"/>
          <w:sz w:val="20"/>
          <w:szCs w:val="20"/>
          <w:lang w:eastAsia="lv-LV"/>
        </w:rPr>
        <w:t xml:space="preserve"> mērķis</w:t>
      </w:r>
      <w:r w:rsidRPr="00C85D48">
        <w:rPr>
          <w:rFonts w:ascii="Arial" w:eastAsia="Times New Roman" w:hAnsi="Arial" w:cs="Arial"/>
          <w:color w:val="595959"/>
          <w:sz w:val="20"/>
          <w:szCs w:val="20"/>
          <w:lang w:eastAsia="lv-LV"/>
        </w:rPr>
        <w:t xml:space="preserve"> ir novērtēt motivācijas programmas un atbalsta pasākumu ietekmi uz sociālās atstumtības un diskriminācijas riskam pakļauto mērķa grupas personu situācijas izmaiņām, kā arī sniegt </w:t>
      </w:r>
      <w:proofErr w:type="spellStart"/>
      <w:r w:rsidRPr="00C85D48">
        <w:rPr>
          <w:rFonts w:ascii="Arial" w:eastAsia="Times New Roman" w:hAnsi="Arial" w:cs="Arial"/>
          <w:color w:val="595959"/>
          <w:sz w:val="20"/>
          <w:szCs w:val="20"/>
          <w:lang w:eastAsia="lv-LV"/>
        </w:rPr>
        <w:t>izvērtējumu</w:t>
      </w:r>
      <w:proofErr w:type="spellEnd"/>
      <w:r w:rsidRPr="00C85D48">
        <w:rPr>
          <w:rFonts w:ascii="Arial" w:eastAsia="Times New Roman" w:hAnsi="Arial" w:cs="Arial"/>
          <w:color w:val="595959"/>
          <w:sz w:val="20"/>
          <w:szCs w:val="20"/>
          <w:lang w:eastAsia="lv-LV"/>
        </w:rPr>
        <w:t xml:space="preserve"> par motivācijas programmas un atbalsta pasākumu īstenošanu un sniegt rekomendācijas to pilnveidošanai. Līgums par </w:t>
      </w:r>
      <w:proofErr w:type="spellStart"/>
      <w:r w:rsidRPr="00C85D48">
        <w:rPr>
          <w:rFonts w:ascii="Arial" w:eastAsia="Times New Roman" w:hAnsi="Arial" w:cs="Arial"/>
          <w:color w:val="595959"/>
          <w:sz w:val="20"/>
          <w:szCs w:val="20"/>
          <w:lang w:eastAsia="lv-LV"/>
        </w:rPr>
        <w:t>izvērtējuma</w:t>
      </w:r>
      <w:proofErr w:type="spellEnd"/>
      <w:r w:rsidRPr="00C85D48">
        <w:rPr>
          <w:rFonts w:ascii="Arial" w:eastAsia="Times New Roman" w:hAnsi="Arial" w:cs="Arial"/>
          <w:color w:val="595959"/>
          <w:sz w:val="20"/>
          <w:szCs w:val="20"/>
          <w:lang w:eastAsia="lv-LV"/>
        </w:rPr>
        <w:t xml:space="preserve"> veikšanu tika noslēgts starp SIF un SIA “SAFEGE Baltija” 2019. gada 7. jūnijā.</w:t>
      </w:r>
    </w:p>
    <w:p w14:paraId="37507012" w14:textId="77777777" w:rsidR="00C85D48" w:rsidRPr="00C85D48" w:rsidRDefault="00C85D48" w:rsidP="00C85D48">
      <w:pPr>
        <w:jc w:val="both"/>
        <w:rPr>
          <w:rFonts w:ascii="Arial" w:eastAsia="Times New Roman" w:hAnsi="Arial" w:cs="Arial"/>
          <w:color w:val="595959"/>
          <w:sz w:val="20"/>
          <w:szCs w:val="20"/>
          <w:vertAlign w:val="superscript"/>
          <w:lang w:eastAsia="lv-LV"/>
        </w:rPr>
      </w:pPr>
      <w:proofErr w:type="spellStart"/>
      <w:r w:rsidRPr="00C85D48">
        <w:rPr>
          <w:rFonts w:ascii="Arial" w:eastAsia="Times New Roman" w:hAnsi="Arial" w:cs="Arial"/>
          <w:b/>
          <w:bCs/>
          <w:color w:val="595959"/>
          <w:sz w:val="20"/>
          <w:szCs w:val="20"/>
          <w:lang w:eastAsia="lv-LV"/>
        </w:rPr>
        <w:t>Izvērtējuma</w:t>
      </w:r>
      <w:proofErr w:type="spellEnd"/>
      <w:r w:rsidRPr="00C85D48">
        <w:rPr>
          <w:rFonts w:ascii="Arial" w:eastAsia="Times New Roman" w:hAnsi="Arial" w:cs="Arial"/>
          <w:b/>
          <w:bCs/>
          <w:color w:val="595959"/>
          <w:sz w:val="20"/>
          <w:szCs w:val="20"/>
          <w:lang w:eastAsia="lv-LV"/>
        </w:rPr>
        <w:t xml:space="preserve"> metodoloģisko ietvaru</w:t>
      </w:r>
      <w:r w:rsidRPr="00C85D48">
        <w:rPr>
          <w:rFonts w:ascii="Arial" w:eastAsia="Times New Roman" w:hAnsi="Arial" w:cs="Arial"/>
          <w:color w:val="595959"/>
          <w:sz w:val="20"/>
          <w:szCs w:val="20"/>
          <w:lang w:eastAsia="lv-LV"/>
        </w:rPr>
        <w:t xml:space="preserve"> veido teorijā balstītais ietekmes izvērtēšanas modelis, kas veidots izmantojot reālistiskā novērtējuma pieeju (</w:t>
      </w:r>
      <w:proofErr w:type="spellStart"/>
      <w:r w:rsidRPr="00C85D48">
        <w:rPr>
          <w:rFonts w:ascii="Arial" w:eastAsia="Times New Roman" w:hAnsi="Arial" w:cs="Arial"/>
          <w:color w:val="595959"/>
          <w:sz w:val="20"/>
          <w:szCs w:val="20"/>
          <w:lang w:eastAsia="lv-LV"/>
        </w:rPr>
        <w:t>realistic</w:t>
      </w:r>
      <w:proofErr w:type="spellEnd"/>
      <w:r w:rsidRPr="00C85D48">
        <w:rPr>
          <w:rFonts w:ascii="Arial" w:eastAsia="Times New Roman" w:hAnsi="Arial" w:cs="Arial"/>
          <w:color w:val="595959"/>
          <w:sz w:val="20"/>
          <w:szCs w:val="20"/>
          <w:lang w:eastAsia="lv-LV"/>
        </w:rPr>
        <w:t xml:space="preserve"> </w:t>
      </w:r>
      <w:proofErr w:type="spellStart"/>
      <w:r w:rsidRPr="00C85D48">
        <w:rPr>
          <w:rFonts w:ascii="Arial" w:eastAsia="Times New Roman" w:hAnsi="Arial" w:cs="Arial"/>
          <w:color w:val="595959"/>
          <w:sz w:val="20"/>
          <w:szCs w:val="20"/>
          <w:lang w:eastAsia="lv-LV"/>
        </w:rPr>
        <w:t>evaluation</w:t>
      </w:r>
      <w:proofErr w:type="spellEnd"/>
      <w:r w:rsidRPr="00C85D48">
        <w:rPr>
          <w:rFonts w:ascii="Arial" w:eastAsia="Times New Roman" w:hAnsi="Arial" w:cs="Arial"/>
          <w:color w:val="595959"/>
          <w:sz w:val="20"/>
          <w:szCs w:val="20"/>
          <w:lang w:eastAsia="lv-LV"/>
        </w:rPr>
        <w:t xml:space="preserve"> </w:t>
      </w:r>
      <w:proofErr w:type="spellStart"/>
      <w:r w:rsidRPr="00C85D48">
        <w:rPr>
          <w:rFonts w:ascii="Arial" w:eastAsia="Times New Roman" w:hAnsi="Arial" w:cs="Arial"/>
          <w:color w:val="595959"/>
          <w:sz w:val="20"/>
          <w:szCs w:val="20"/>
          <w:lang w:eastAsia="lv-LV"/>
        </w:rPr>
        <w:t>approach</w:t>
      </w:r>
      <w:proofErr w:type="spellEnd"/>
      <w:r w:rsidRPr="00C85D48">
        <w:rPr>
          <w:rFonts w:ascii="Arial" w:eastAsia="Times New Roman" w:hAnsi="Arial" w:cs="Arial"/>
          <w:color w:val="595959"/>
          <w:sz w:val="20"/>
          <w:szCs w:val="20"/>
          <w:lang w:eastAsia="lv-LV"/>
        </w:rPr>
        <w:t xml:space="preserve">), ko attīstīja </w:t>
      </w:r>
      <w:proofErr w:type="spellStart"/>
      <w:r w:rsidRPr="00C85D48">
        <w:rPr>
          <w:rFonts w:ascii="Arial" w:eastAsia="Times New Roman" w:hAnsi="Arial" w:cs="Arial"/>
          <w:color w:val="595959"/>
          <w:sz w:val="20"/>
          <w:szCs w:val="20"/>
          <w:lang w:eastAsia="lv-LV"/>
        </w:rPr>
        <w:t>R.Pavsons</w:t>
      </w:r>
      <w:proofErr w:type="spellEnd"/>
      <w:r w:rsidRPr="00C85D48">
        <w:rPr>
          <w:rFonts w:ascii="Arial" w:eastAsia="Times New Roman" w:hAnsi="Arial" w:cs="Arial"/>
          <w:color w:val="595959"/>
          <w:sz w:val="20"/>
          <w:szCs w:val="20"/>
          <w:lang w:eastAsia="lv-LV"/>
        </w:rPr>
        <w:t xml:space="preserve"> un </w:t>
      </w:r>
      <w:proofErr w:type="spellStart"/>
      <w:r w:rsidRPr="00C85D48">
        <w:rPr>
          <w:rFonts w:ascii="Arial" w:eastAsia="Times New Roman" w:hAnsi="Arial" w:cs="Arial"/>
          <w:color w:val="595959"/>
          <w:sz w:val="20"/>
          <w:szCs w:val="20"/>
          <w:lang w:eastAsia="lv-LV"/>
        </w:rPr>
        <w:t>N.Tillijs</w:t>
      </w:r>
      <w:proofErr w:type="spellEnd"/>
      <w:r w:rsidRPr="00C85D48">
        <w:rPr>
          <w:rFonts w:ascii="Arial" w:eastAsia="Times New Roman" w:hAnsi="Arial" w:cs="Arial"/>
          <w:color w:val="595959"/>
          <w:sz w:val="20"/>
          <w:szCs w:val="20"/>
          <w:vertAlign w:val="superscript"/>
          <w:lang w:eastAsia="lv-LV"/>
        </w:rPr>
        <w:footnoteReference w:id="2"/>
      </w:r>
      <w:r w:rsidRPr="00C85D48">
        <w:rPr>
          <w:rFonts w:ascii="Arial" w:eastAsia="Times New Roman" w:hAnsi="Arial" w:cs="Arial"/>
          <w:color w:val="595959"/>
          <w:sz w:val="20"/>
          <w:szCs w:val="20"/>
          <w:lang w:eastAsia="lv-LV"/>
        </w:rPr>
        <w:t>. Modeļa ietvaros izstrādātā pārmaiņu teorija ir vēlamo sociālo izmaiņu sistemātisks apraksts, kurš kalpo par pamatu stratēģiskajai plānošanai, lēmumu pieņemšanas procesam un izvērtēšanas plānošanai</w:t>
      </w:r>
      <w:r w:rsidRPr="00C85D48">
        <w:rPr>
          <w:rFonts w:ascii="Arial" w:eastAsia="Times New Roman" w:hAnsi="Arial" w:cs="Arial"/>
          <w:color w:val="595959"/>
          <w:sz w:val="20"/>
          <w:szCs w:val="20"/>
          <w:vertAlign w:val="superscript"/>
          <w:lang w:eastAsia="lv-LV"/>
        </w:rPr>
        <w:footnoteReference w:id="3"/>
      </w:r>
      <w:r w:rsidRPr="00C85D48">
        <w:rPr>
          <w:rFonts w:ascii="Arial" w:eastAsia="Times New Roman" w:hAnsi="Arial" w:cs="Arial"/>
          <w:color w:val="595959"/>
          <w:sz w:val="20"/>
          <w:szCs w:val="20"/>
          <w:lang w:eastAsia="lv-LV"/>
        </w:rPr>
        <w:t xml:space="preserve">. </w:t>
      </w:r>
      <w:proofErr w:type="spellStart"/>
      <w:r w:rsidRPr="00C85D48">
        <w:rPr>
          <w:rFonts w:ascii="Arial" w:eastAsia="Times New Roman" w:hAnsi="Arial" w:cs="Arial"/>
          <w:color w:val="595959"/>
          <w:sz w:val="20"/>
          <w:szCs w:val="20"/>
          <w:lang w:eastAsia="lv-LV"/>
        </w:rPr>
        <w:t>Izvērtējuma</w:t>
      </w:r>
      <w:proofErr w:type="spellEnd"/>
      <w:r w:rsidRPr="00C85D48">
        <w:rPr>
          <w:rFonts w:ascii="Arial" w:eastAsia="Times New Roman" w:hAnsi="Arial" w:cs="Arial"/>
          <w:color w:val="595959"/>
          <w:sz w:val="20"/>
          <w:szCs w:val="20"/>
          <w:lang w:eastAsia="lv-LV"/>
        </w:rPr>
        <w:t xml:space="preserve"> metodoloģijas izvēle un dizaina izveide saistīta ar tā pamatuzdevumu – fiksēt noteiktu mainīgo pārvērtības laikā, atklājot, vai un kādā mērā programmas pasākumi ir to </w:t>
      </w:r>
      <w:proofErr w:type="spellStart"/>
      <w:r w:rsidRPr="00C85D48">
        <w:rPr>
          <w:rFonts w:ascii="Arial" w:eastAsia="Times New Roman" w:hAnsi="Arial" w:cs="Arial"/>
          <w:color w:val="595959"/>
          <w:sz w:val="20"/>
          <w:szCs w:val="20"/>
          <w:lang w:eastAsia="lv-LV"/>
        </w:rPr>
        <w:t>skāruši</w:t>
      </w:r>
      <w:proofErr w:type="spellEnd"/>
      <w:r w:rsidRPr="00C85D48">
        <w:rPr>
          <w:rFonts w:ascii="Arial" w:eastAsia="Times New Roman" w:hAnsi="Arial" w:cs="Arial"/>
          <w:color w:val="595959"/>
          <w:sz w:val="20"/>
          <w:szCs w:val="20"/>
          <w:lang w:eastAsia="lv-LV"/>
        </w:rPr>
        <w:t xml:space="preserve">, kā arī, cik lielā mērā relevantos mainīgos </w:t>
      </w:r>
      <w:proofErr w:type="spellStart"/>
      <w:r w:rsidRPr="00C85D48">
        <w:rPr>
          <w:rFonts w:ascii="Arial" w:eastAsia="Times New Roman" w:hAnsi="Arial" w:cs="Arial"/>
          <w:color w:val="595959"/>
          <w:sz w:val="20"/>
          <w:szCs w:val="20"/>
          <w:lang w:eastAsia="lv-LV"/>
        </w:rPr>
        <w:t>skārusi</w:t>
      </w:r>
      <w:proofErr w:type="spellEnd"/>
      <w:r w:rsidRPr="00C85D48">
        <w:rPr>
          <w:rFonts w:ascii="Arial" w:eastAsia="Times New Roman" w:hAnsi="Arial" w:cs="Arial"/>
          <w:color w:val="595959"/>
          <w:sz w:val="20"/>
          <w:szCs w:val="20"/>
          <w:lang w:eastAsia="lv-LV"/>
        </w:rPr>
        <w:t xml:space="preserve"> apkārtējās vides ietekme. Metodoloģijas specifika lielā mērā saistāma ar faktu, ka </w:t>
      </w:r>
      <w:proofErr w:type="spellStart"/>
      <w:r w:rsidRPr="00C85D48">
        <w:rPr>
          <w:rFonts w:ascii="Arial" w:eastAsia="Times New Roman" w:hAnsi="Arial" w:cs="Arial"/>
          <w:color w:val="595959"/>
          <w:sz w:val="20"/>
          <w:szCs w:val="20"/>
          <w:lang w:eastAsia="lv-LV"/>
        </w:rPr>
        <w:t>izvērtējuma</w:t>
      </w:r>
      <w:proofErr w:type="spellEnd"/>
      <w:r w:rsidRPr="00C85D48">
        <w:rPr>
          <w:rFonts w:ascii="Arial" w:eastAsia="Times New Roman" w:hAnsi="Arial" w:cs="Arial"/>
          <w:color w:val="595959"/>
          <w:sz w:val="20"/>
          <w:szCs w:val="20"/>
          <w:lang w:eastAsia="lv-LV"/>
        </w:rPr>
        <w:t xml:space="preserve"> sākuma un atskaites punkts ir programma, kas tiek vērtēta. Programmu vērtē kā sekmīgu tad, ja īstenotie pasākumi ietekmē mērķa mainīgos pietiekamā</w:t>
      </w:r>
      <w:r w:rsidRPr="00C85D48">
        <w:rPr>
          <w:rFonts w:ascii="Arial" w:eastAsia="Times New Roman" w:hAnsi="Arial" w:cs="Arial"/>
          <w:color w:val="595959"/>
          <w:sz w:val="20"/>
          <w:szCs w:val="20"/>
        </w:rPr>
        <w:t xml:space="preserve"> </w:t>
      </w:r>
      <w:r w:rsidRPr="00C85D48">
        <w:rPr>
          <w:rFonts w:ascii="Arial" w:eastAsia="Times New Roman" w:hAnsi="Arial" w:cs="Arial"/>
          <w:color w:val="595959"/>
          <w:sz w:val="20"/>
          <w:szCs w:val="20"/>
          <w:lang w:eastAsia="lv-LV"/>
        </w:rPr>
        <w:t xml:space="preserve">stiprumā un vēlamā virzienā. </w:t>
      </w:r>
      <w:proofErr w:type="spellStart"/>
      <w:r w:rsidRPr="00C85D48">
        <w:rPr>
          <w:rFonts w:ascii="Arial" w:eastAsia="Times New Roman" w:hAnsi="Arial" w:cs="Arial"/>
          <w:color w:val="595959"/>
          <w:sz w:val="20"/>
          <w:szCs w:val="20"/>
          <w:lang w:eastAsia="lv-LV"/>
        </w:rPr>
        <w:t>Izvērtējuma</w:t>
      </w:r>
      <w:proofErr w:type="spellEnd"/>
      <w:r w:rsidRPr="00C85D48">
        <w:rPr>
          <w:rFonts w:ascii="Arial" w:eastAsia="Times New Roman" w:hAnsi="Arial" w:cs="Arial"/>
          <w:color w:val="595959"/>
          <w:sz w:val="20"/>
          <w:szCs w:val="20"/>
          <w:lang w:eastAsia="lv-LV"/>
        </w:rPr>
        <w:t xml:space="preserve"> galvenā „misija” ir pārbaudīt, vai programmas rezultāts tiešām ir to darbību rezultāts, kas veiktas, lai problēmu atrisinātu</w:t>
      </w:r>
      <w:r w:rsidRPr="00C85D48">
        <w:rPr>
          <w:rFonts w:ascii="Arial" w:eastAsia="Times New Roman" w:hAnsi="Arial" w:cs="Arial"/>
          <w:color w:val="595959"/>
          <w:sz w:val="20"/>
          <w:szCs w:val="20"/>
          <w:vertAlign w:val="superscript"/>
          <w:lang w:eastAsia="lv-LV"/>
        </w:rPr>
        <w:footnoteReference w:id="4"/>
      </w:r>
      <w:r w:rsidRPr="00C85D48">
        <w:rPr>
          <w:rFonts w:ascii="Arial" w:eastAsia="Times New Roman" w:hAnsi="Arial" w:cs="Arial"/>
          <w:color w:val="595959"/>
          <w:sz w:val="20"/>
          <w:szCs w:val="20"/>
          <w:vertAlign w:val="superscript"/>
          <w:lang w:eastAsia="lv-LV"/>
        </w:rPr>
        <w:t xml:space="preserve">.. </w:t>
      </w:r>
      <w:r w:rsidRPr="00C85D48">
        <w:rPr>
          <w:rFonts w:ascii="Arial" w:eastAsia="Times New Roman" w:hAnsi="Arial" w:cs="Arial"/>
          <w:color w:val="595959"/>
          <w:sz w:val="20"/>
          <w:szCs w:val="20"/>
          <w:lang w:eastAsia="lv-LV"/>
        </w:rPr>
        <w:t xml:space="preserve">Izvēlētā metodoloģiskā pieeja ļauj ne vien konstatēt rezultātu sasniegšanas pakāpi, bet arī izprast rīcību darbības mehānismus un kontekstu, t.i., faktorus, kurā šie mehānismi ir vai nav darbojušies. </w:t>
      </w:r>
    </w:p>
    <w:p w14:paraId="23E83BB5" w14:textId="77777777" w:rsidR="00C85D48" w:rsidRPr="00C85D48" w:rsidRDefault="00C85D48" w:rsidP="00C85D48">
      <w:pPr>
        <w:spacing w:line="240" w:lineRule="auto"/>
        <w:jc w:val="both"/>
        <w:rPr>
          <w:rFonts w:ascii="Arial" w:eastAsia="Times New Roman" w:hAnsi="Arial" w:cs="Arial"/>
          <w:color w:val="595959"/>
          <w:sz w:val="20"/>
          <w:szCs w:val="20"/>
          <w:lang w:eastAsia="lv-LV"/>
        </w:rPr>
      </w:pPr>
      <w:proofErr w:type="spellStart"/>
      <w:r w:rsidRPr="00C85D48">
        <w:rPr>
          <w:rFonts w:ascii="Arial" w:eastAsia="Times New Roman" w:hAnsi="Arial" w:cs="Arial"/>
          <w:b/>
          <w:color w:val="595959"/>
          <w:sz w:val="20"/>
          <w:szCs w:val="20"/>
          <w:lang w:eastAsia="lv-LV"/>
        </w:rPr>
        <w:t>Izvērtējuma</w:t>
      </w:r>
      <w:proofErr w:type="spellEnd"/>
      <w:r w:rsidRPr="00C85D48">
        <w:rPr>
          <w:rFonts w:ascii="Arial" w:eastAsia="Times New Roman" w:hAnsi="Arial" w:cs="Arial"/>
          <w:b/>
          <w:color w:val="595959"/>
          <w:sz w:val="20"/>
          <w:szCs w:val="20"/>
          <w:lang w:eastAsia="lv-LV"/>
        </w:rPr>
        <w:t xml:space="preserve"> ietvaros</w:t>
      </w:r>
      <w:r w:rsidRPr="00C85D48">
        <w:rPr>
          <w:rFonts w:ascii="Arial" w:eastAsia="Times New Roman" w:hAnsi="Arial" w:cs="Arial"/>
          <w:bCs/>
          <w:color w:val="595959"/>
          <w:sz w:val="20"/>
          <w:szCs w:val="20"/>
          <w:lang w:eastAsia="lv-LV"/>
        </w:rPr>
        <w:t xml:space="preserve"> tika veiktas intervijas ar visu iesaistīto pušu pārstāvjiem, t.sk., i</w:t>
      </w:r>
      <w:r w:rsidRPr="00C85D48">
        <w:rPr>
          <w:rFonts w:ascii="Arial" w:eastAsia="Times New Roman" w:hAnsi="Arial" w:cs="Arial"/>
          <w:color w:val="595959"/>
          <w:sz w:val="20"/>
          <w:szCs w:val="20"/>
          <w:lang w:eastAsia="lv-LV"/>
        </w:rPr>
        <w:t>ntervijas ar 39 pakalpojuma sniedzēju pārstāvjiem (reģionālajiem koordinatoriem, pārmaiņu aģentiem, NVO vadītājiem, karjeras konsultantiem, psihologiem un juristiem); 22 mērķa grupas pārstāvjiem, motivācijas programmas vadībā un uzraudzībā iesaistīto iestāžu atbildīgajām amatpersonām (SIF, CFLA, LM). A</w:t>
      </w:r>
      <w:r w:rsidRPr="00C85D48">
        <w:rPr>
          <w:rFonts w:ascii="Arial" w:eastAsia="Times New Roman" w:hAnsi="Arial" w:cs="Arial"/>
          <w:color w:val="595959"/>
          <w:sz w:val="20"/>
          <w:szCs w:val="20"/>
        </w:rPr>
        <w:t xml:space="preserve">nalīzē vēl papildus izmantota 12 mērķa grupas pārstāvju pieredze un viedoklis par dalību programmā un situācijas izmaiņām pēc tās pabeigšanas, kura tika iegūta analizējot gan publiski pieejamo informāciju, gan rakstiski saņemto informāciju no pakalpojuma sniedzējiem. Programmas intervences loģikas un </w:t>
      </w:r>
      <w:proofErr w:type="spellStart"/>
      <w:r w:rsidRPr="00C85D48">
        <w:rPr>
          <w:rFonts w:ascii="Arial" w:eastAsia="Times New Roman" w:hAnsi="Arial" w:cs="Arial"/>
          <w:color w:val="595959"/>
          <w:sz w:val="20"/>
          <w:szCs w:val="20"/>
        </w:rPr>
        <w:t>izvērtējuma</w:t>
      </w:r>
      <w:proofErr w:type="spellEnd"/>
      <w:r w:rsidRPr="00C85D48">
        <w:rPr>
          <w:rFonts w:ascii="Arial" w:eastAsia="Times New Roman" w:hAnsi="Arial" w:cs="Arial"/>
          <w:color w:val="595959"/>
          <w:sz w:val="20"/>
          <w:szCs w:val="20"/>
        </w:rPr>
        <w:t xml:space="preserve"> validācijai tika organizētas divas </w:t>
      </w:r>
      <w:proofErr w:type="spellStart"/>
      <w:r w:rsidRPr="00C85D48">
        <w:rPr>
          <w:rFonts w:ascii="Arial" w:eastAsia="Times New Roman" w:hAnsi="Arial" w:cs="Arial"/>
          <w:color w:val="595959"/>
          <w:sz w:val="20"/>
          <w:szCs w:val="20"/>
        </w:rPr>
        <w:t>fokusgrupas</w:t>
      </w:r>
      <w:proofErr w:type="spellEnd"/>
      <w:r w:rsidRPr="00C85D48">
        <w:rPr>
          <w:rFonts w:ascii="Arial" w:eastAsia="Times New Roman" w:hAnsi="Arial" w:cs="Arial"/>
          <w:color w:val="595959"/>
          <w:sz w:val="20"/>
          <w:szCs w:val="20"/>
        </w:rPr>
        <w:t xml:space="preserve"> diskusijas ar iesaistītajām pusēm.  </w:t>
      </w:r>
    </w:p>
    <w:p w14:paraId="1F474814" w14:textId="77777777" w:rsidR="00C85D48" w:rsidRPr="00C85D48" w:rsidRDefault="00C85D48" w:rsidP="00C85D48">
      <w:pPr>
        <w:jc w:val="both"/>
        <w:rPr>
          <w:rFonts w:ascii="Arial" w:eastAsia="Times New Roman" w:hAnsi="Arial" w:cs="Arial"/>
          <w:color w:val="323E4F"/>
          <w:sz w:val="20"/>
          <w:szCs w:val="20"/>
        </w:rPr>
      </w:pPr>
      <w:r w:rsidRPr="00C85D48">
        <w:rPr>
          <w:rFonts w:ascii="Arial" w:eastAsia="Times New Roman" w:hAnsi="Arial" w:cs="Arial"/>
          <w:color w:val="595959"/>
          <w:sz w:val="20"/>
          <w:szCs w:val="20"/>
          <w:lang w:eastAsia="lv-LV"/>
        </w:rPr>
        <w:t xml:space="preserve">Motivācijas programmas ietvaros 2018.gadā tika noslēgti pieci pakalpojuma līgumi par kopējo summu </w:t>
      </w:r>
      <w:r w:rsidRPr="00C85D48">
        <w:rPr>
          <w:rFonts w:ascii="Arial" w:eastAsia="Times New Roman" w:hAnsi="Arial" w:cs="Arial"/>
          <w:bCs/>
          <w:color w:val="595959"/>
          <w:sz w:val="20"/>
          <w:szCs w:val="20"/>
          <w:lang w:eastAsia="lv-LV"/>
        </w:rPr>
        <w:t>669 760 EUR</w:t>
      </w:r>
      <w:r w:rsidRPr="00C85D48">
        <w:rPr>
          <w:rFonts w:ascii="Arial" w:eastAsia="Times New Roman" w:hAnsi="Arial" w:cs="Arial"/>
          <w:color w:val="595959"/>
          <w:sz w:val="20"/>
          <w:szCs w:val="20"/>
          <w:lang w:eastAsia="lv-LV"/>
        </w:rPr>
        <w:t xml:space="preserve">, lai sniegtu motivācijas paaugstināšanas un atbalsta pakalpojumus 931 nelabvēlīgā situācijā esošiem iedzīvotājam (motivācijas programmas 1. un 2. posms) </w:t>
      </w:r>
      <w:r w:rsidRPr="00C85D48">
        <w:rPr>
          <w:rFonts w:ascii="Arial" w:eastAsia="Times New Roman" w:hAnsi="Arial" w:cs="Arial"/>
          <w:bCs/>
          <w:color w:val="595959"/>
          <w:sz w:val="20"/>
          <w:szCs w:val="20"/>
          <w:lang w:eastAsia="lv-LV"/>
        </w:rPr>
        <w:t xml:space="preserve">par pakalpojumu sniegšanu </w:t>
      </w:r>
      <w:r w:rsidRPr="00C85D48">
        <w:rPr>
          <w:rFonts w:ascii="Arial" w:eastAsia="Times New Roman" w:hAnsi="Arial" w:cs="Arial"/>
          <w:bCs/>
          <w:color w:val="595959"/>
          <w:sz w:val="20"/>
          <w:szCs w:val="20"/>
          <w:lang w:eastAsia="lv-LV"/>
        </w:rPr>
        <w:lastRenderedPageBreak/>
        <w:t xml:space="preserve">astoņos reģionos. </w:t>
      </w:r>
      <w:r w:rsidRPr="00C85D48">
        <w:rPr>
          <w:rFonts w:ascii="Arial" w:eastAsia="Times New Roman" w:hAnsi="Arial" w:cs="Arial"/>
          <w:color w:val="595959"/>
          <w:sz w:val="20"/>
          <w:szCs w:val="20"/>
          <w:lang w:eastAsia="lv-LV"/>
        </w:rPr>
        <w:t xml:space="preserve"> </w:t>
      </w:r>
      <w:r w:rsidRPr="00C85D48">
        <w:rPr>
          <w:rFonts w:ascii="Arial" w:eastAsia="Times New Roman" w:hAnsi="Arial" w:cs="Arial"/>
          <w:color w:val="595959"/>
          <w:sz w:val="20"/>
          <w:szCs w:val="20"/>
        </w:rPr>
        <w:t xml:space="preserve">Programmas mērķa grupas ir sociālās atstumtības un diskriminācijas riskam pakļautas personas, </w:t>
      </w:r>
      <w:r w:rsidRPr="00C85D48">
        <w:rPr>
          <w:rFonts w:ascii="Arial" w:eastAsia="Times New Roman" w:hAnsi="Arial" w:cs="Arial"/>
          <w:color w:val="323E4F"/>
          <w:sz w:val="20"/>
          <w:szCs w:val="20"/>
        </w:rPr>
        <w:t xml:space="preserve">kas ietver: </w:t>
      </w:r>
    </w:p>
    <w:p w14:paraId="0CA4D905" w14:textId="77777777" w:rsidR="00C85D48" w:rsidRPr="00C85D48" w:rsidRDefault="00C85D48" w:rsidP="00C85D48">
      <w:pPr>
        <w:numPr>
          <w:ilvl w:val="1"/>
          <w:numId w:val="3"/>
        </w:numPr>
        <w:spacing w:after="0" w:line="240" w:lineRule="auto"/>
        <w:ind w:right="418"/>
        <w:contextualSpacing/>
        <w:jc w:val="both"/>
        <w:rPr>
          <w:rFonts w:ascii="Arial" w:eastAsia="Times New Roman" w:hAnsi="Arial" w:cs="Arial"/>
          <w:color w:val="323E4F"/>
          <w:sz w:val="20"/>
          <w:szCs w:val="20"/>
          <w:lang w:eastAsia="lv-LV"/>
        </w:rPr>
      </w:pPr>
      <w:r w:rsidRPr="00C85D48">
        <w:rPr>
          <w:rFonts w:ascii="Arial" w:eastAsia="Times New Roman" w:hAnsi="Arial" w:cs="Arial"/>
          <w:color w:val="323E4F"/>
          <w:sz w:val="20"/>
          <w:szCs w:val="20"/>
          <w:lang w:eastAsia="lv-LV"/>
        </w:rPr>
        <w:t>personas, kuras pakļautas diskriminācijas riskiem dzimuma dēļ, tai skaitā personas pēc bērna kopšanas atvaļinājuma, no vardarbības cietušas personas, personas, kuras kopj citu ģimenes locekli, viena vecāka ģimenes pārstāvji;</w:t>
      </w:r>
    </w:p>
    <w:p w14:paraId="2B265FAC" w14:textId="77777777" w:rsidR="00C85D48" w:rsidRPr="00C85D48" w:rsidRDefault="00C85D48" w:rsidP="00C85D48">
      <w:pPr>
        <w:numPr>
          <w:ilvl w:val="1"/>
          <w:numId w:val="3"/>
        </w:numPr>
        <w:spacing w:after="0" w:line="240" w:lineRule="auto"/>
        <w:ind w:right="418"/>
        <w:contextualSpacing/>
        <w:jc w:val="both"/>
        <w:rPr>
          <w:rFonts w:ascii="Arial" w:eastAsia="Times New Roman" w:hAnsi="Arial" w:cs="Arial"/>
          <w:color w:val="323E4F"/>
          <w:sz w:val="20"/>
          <w:szCs w:val="20"/>
          <w:lang w:eastAsia="lv-LV"/>
        </w:rPr>
      </w:pPr>
      <w:r w:rsidRPr="00C85D48">
        <w:rPr>
          <w:rFonts w:ascii="Arial" w:eastAsia="Times New Roman" w:hAnsi="Arial" w:cs="Arial"/>
          <w:color w:val="323E4F"/>
          <w:sz w:val="20"/>
          <w:szCs w:val="20"/>
          <w:lang w:eastAsia="lv-LV"/>
        </w:rPr>
        <w:t>personas, kuras pakļautas diskriminācijas riskiem vecuma dēļ (personas pēc 50 gadu vecuma (50+))</w:t>
      </w:r>
    </w:p>
    <w:p w14:paraId="7A310E91" w14:textId="77777777" w:rsidR="00C85D48" w:rsidRPr="00C85D48" w:rsidRDefault="00C85D48" w:rsidP="00C85D48">
      <w:pPr>
        <w:numPr>
          <w:ilvl w:val="1"/>
          <w:numId w:val="3"/>
        </w:numPr>
        <w:spacing w:after="0" w:line="240" w:lineRule="auto"/>
        <w:ind w:right="418"/>
        <w:contextualSpacing/>
        <w:jc w:val="both"/>
        <w:rPr>
          <w:rFonts w:ascii="Arial" w:eastAsia="Times New Roman" w:hAnsi="Arial" w:cs="Arial"/>
          <w:color w:val="323E4F"/>
          <w:sz w:val="20"/>
          <w:szCs w:val="20"/>
          <w:lang w:eastAsia="lv-LV"/>
        </w:rPr>
      </w:pPr>
      <w:r w:rsidRPr="00C85D48">
        <w:rPr>
          <w:rFonts w:ascii="Arial" w:eastAsia="Times New Roman" w:hAnsi="Arial" w:cs="Arial"/>
          <w:color w:val="323E4F"/>
          <w:sz w:val="20"/>
          <w:szCs w:val="20"/>
          <w:lang w:eastAsia="lv-LV"/>
        </w:rPr>
        <w:t>personas, kuras pakļautas diskriminācijas riskiem invaliditātes dēļ, tai skaitā bezdarbnieki ar invaliditāti, personas ar invaliditāti un zemu izglītības līmeni;</w:t>
      </w:r>
    </w:p>
    <w:p w14:paraId="4708BCA6" w14:textId="77777777" w:rsidR="00C85D48" w:rsidRPr="00C85D48" w:rsidRDefault="00C85D48" w:rsidP="00C85D48">
      <w:pPr>
        <w:numPr>
          <w:ilvl w:val="1"/>
          <w:numId w:val="3"/>
        </w:numPr>
        <w:contextualSpacing/>
        <w:jc w:val="both"/>
        <w:rPr>
          <w:rFonts w:ascii="Arial" w:eastAsia="Times New Roman" w:hAnsi="Arial" w:cs="Arial"/>
          <w:color w:val="323E4F"/>
          <w:sz w:val="20"/>
          <w:szCs w:val="20"/>
        </w:rPr>
      </w:pPr>
      <w:r w:rsidRPr="00C85D48">
        <w:rPr>
          <w:rFonts w:ascii="Arial" w:eastAsia="Times New Roman" w:hAnsi="Arial" w:cs="Arial"/>
          <w:color w:val="323E4F"/>
          <w:sz w:val="20"/>
          <w:szCs w:val="20"/>
          <w:lang w:eastAsia="lv-LV"/>
        </w:rPr>
        <w:t xml:space="preserve">personas, kuras pakļautas diskriminācijas riskiem etniskās piederības dēļ, tai skaitā </w:t>
      </w:r>
      <w:proofErr w:type="spellStart"/>
      <w:r w:rsidRPr="00C85D48">
        <w:rPr>
          <w:rFonts w:ascii="Arial" w:eastAsia="Times New Roman" w:hAnsi="Arial" w:cs="Arial"/>
          <w:color w:val="323E4F"/>
          <w:sz w:val="20"/>
          <w:szCs w:val="20"/>
          <w:lang w:eastAsia="lv-LV"/>
        </w:rPr>
        <w:t>romu</w:t>
      </w:r>
      <w:proofErr w:type="spellEnd"/>
      <w:r w:rsidRPr="00C85D48">
        <w:rPr>
          <w:rFonts w:ascii="Arial" w:eastAsia="Times New Roman" w:hAnsi="Arial" w:cs="Arial"/>
          <w:color w:val="323E4F"/>
          <w:sz w:val="20"/>
          <w:szCs w:val="20"/>
          <w:lang w:eastAsia="lv-LV"/>
        </w:rPr>
        <w:t xml:space="preserve"> tautības pārstāvji un citas etniskās minoritātes</w:t>
      </w:r>
      <w:r w:rsidRPr="00C85D48">
        <w:rPr>
          <w:rFonts w:ascii="Arial" w:eastAsia="Calibri" w:hAnsi="Arial" w:cs="Arial"/>
          <w:color w:val="323E4F"/>
          <w:sz w:val="20"/>
          <w:szCs w:val="20"/>
        </w:rPr>
        <w:t xml:space="preserve">. </w:t>
      </w:r>
    </w:p>
    <w:p w14:paraId="3539FC67" w14:textId="77777777" w:rsidR="00C85D48" w:rsidRPr="00C85D48" w:rsidRDefault="00C85D48" w:rsidP="00C85D48">
      <w:pPr>
        <w:jc w:val="both"/>
        <w:rPr>
          <w:rFonts w:ascii="Arial" w:eastAsia="Times New Roman" w:hAnsi="Arial" w:cs="Arial"/>
          <w:color w:val="595959"/>
          <w:sz w:val="20"/>
          <w:szCs w:val="20"/>
        </w:rPr>
      </w:pPr>
    </w:p>
    <w:p w14:paraId="0C94DBEE" w14:textId="77777777" w:rsidR="00C85D48" w:rsidRPr="00C85D48" w:rsidRDefault="00C85D48" w:rsidP="00C85D48">
      <w:pPr>
        <w:spacing w:line="240" w:lineRule="auto"/>
        <w:jc w:val="both"/>
        <w:rPr>
          <w:rFonts w:ascii="Arial" w:eastAsia="Times New Roman" w:hAnsi="Arial" w:cs="Arial"/>
          <w:color w:val="595959"/>
          <w:sz w:val="20"/>
          <w:szCs w:val="20"/>
          <w:lang w:eastAsia="lv-LV"/>
        </w:rPr>
      </w:pPr>
      <w:r w:rsidRPr="00C85D48">
        <w:rPr>
          <w:rFonts w:ascii="Arial" w:eastAsia="Times New Roman" w:hAnsi="Arial" w:cs="Arial"/>
          <w:color w:val="595959"/>
          <w:sz w:val="20"/>
          <w:szCs w:val="20"/>
          <w:lang w:eastAsia="lv-LV"/>
        </w:rPr>
        <w:t>Motivācijas programmas pakalpojumus mērķa grupām nepieciešams nodrošināt saskaņā ar profilēšanas pētījuma</w:t>
      </w:r>
      <w:r w:rsidRPr="00C85D48">
        <w:rPr>
          <w:rFonts w:ascii="Arial" w:eastAsia="Times New Roman" w:hAnsi="Arial" w:cs="Arial"/>
          <w:color w:val="595959"/>
          <w:sz w:val="20"/>
          <w:szCs w:val="20"/>
          <w:vertAlign w:val="superscript"/>
          <w:lang w:eastAsia="lv-LV"/>
        </w:rPr>
        <w:footnoteReference w:id="5"/>
      </w:r>
      <w:r w:rsidRPr="00C85D48">
        <w:rPr>
          <w:rFonts w:ascii="Arial" w:eastAsia="Times New Roman" w:hAnsi="Arial" w:cs="Arial"/>
          <w:color w:val="595959"/>
          <w:sz w:val="20"/>
          <w:szCs w:val="20"/>
          <w:lang w:eastAsia="lv-LV"/>
        </w:rPr>
        <w:t xml:space="preserve">  rezultātiem, specifiskajiem kritērijiem un nepieciešamajiem pakalpojumiem. Balstoties uz pētījumā iegūto informāciju, tika izstrādāta motivācijas programma, kuras kopējais stundu skaits ir 56 kontaktstundas vienai motivācijas programmas mērķa grupas personai, kas ietver:</w:t>
      </w:r>
    </w:p>
    <w:p w14:paraId="45C5EB23" w14:textId="77777777" w:rsidR="00C85D48" w:rsidRPr="00C85D48" w:rsidRDefault="00C85D48" w:rsidP="00C85D48">
      <w:pPr>
        <w:numPr>
          <w:ilvl w:val="0"/>
          <w:numId w:val="1"/>
        </w:numPr>
        <w:spacing w:before="29" w:after="0" w:line="240" w:lineRule="auto"/>
        <w:ind w:right="78"/>
        <w:contextualSpacing/>
        <w:jc w:val="both"/>
        <w:rPr>
          <w:rFonts w:ascii="Arial" w:eastAsia="Times New Roman" w:hAnsi="Arial" w:cs="Arial"/>
          <w:color w:val="595959"/>
          <w:sz w:val="20"/>
          <w:szCs w:val="20"/>
          <w:lang w:eastAsia="lv-LV"/>
        </w:rPr>
      </w:pPr>
      <w:r w:rsidRPr="00C85D48">
        <w:rPr>
          <w:rFonts w:ascii="Arial" w:eastAsia="Times New Roman" w:hAnsi="Arial" w:cs="Arial"/>
          <w:color w:val="595959"/>
          <w:sz w:val="20"/>
          <w:szCs w:val="20"/>
          <w:lang w:eastAsia="lv-LV"/>
        </w:rPr>
        <w:t xml:space="preserve">ne mazāk kā 20 individuālas pārmaiņu aģenta konsultācijas (20h); </w:t>
      </w:r>
    </w:p>
    <w:p w14:paraId="54DA87F6" w14:textId="77777777" w:rsidR="00C85D48" w:rsidRPr="00C85D48" w:rsidRDefault="00C85D48" w:rsidP="00C85D48">
      <w:pPr>
        <w:numPr>
          <w:ilvl w:val="0"/>
          <w:numId w:val="1"/>
        </w:numPr>
        <w:spacing w:before="29" w:after="0" w:line="240" w:lineRule="auto"/>
        <w:ind w:right="78"/>
        <w:contextualSpacing/>
        <w:jc w:val="both"/>
        <w:rPr>
          <w:rFonts w:ascii="Arial" w:eastAsia="Times New Roman" w:hAnsi="Arial" w:cs="Arial"/>
          <w:color w:val="595959"/>
          <w:sz w:val="20"/>
          <w:szCs w:val="20"/>
          <w:lang w:eastAsia="lv-LV"/>
        </w:rPr>
      </w:pPr>
      <w:r w:rsidRPr="00C85D48">
        <w:rPr>
          <w:rFonts w:ascii="Arial" w:eastAsia="Times New Roman" w:hAnsi="Arial" w:cs="Arial"/>
          <w:color w:val="595959"/>
          <w:sz w:val="20"/>
          <w:szCs w:val="20"/>
          <w:lang w:eastAsia="lv-LV"/>
        </w:rPr>
        <w:t xml:space="preserve">10 atbalsta/pašpalīdzības grupu nodarbības, piesaistot psihologu, karjeras konsultantu, juristu vai citu speciālistu (vienas grupas nodarbības ilgums ir divas astronomiskās stundas jeb 120 minūtes) (20h); </w:t>
      </w:r>
    </w:p>
    <w:p w14:paraId="5E9ED7EF" w14:textId="77777777" w:rsidR="00C85D48" w:rsidRPr="00C85D48" w:rsidRDefault="00C85D48" w:rsidP="00C85D48">
      <w:pPr>
        <w:numPr>
          <w:ilvl w:val="0"/>
          <w:numId w:val="1"/>
        </w:numPr>
        <w:spacing w:before="29" w:after="0" w:line="240" w:lineRule="auto"/>
        <w:ind w:right="78"/>
        <w:contextualSpacing/>
        <w:jc w:val="both"/>
        <w:rPr>
          <w:rFonts w:ascii="Arial" w:eastAsia="Times New Roman" w:hAnsi="Arial" w:cs="Arial"/>
          <w:color w:val="595959"/>
          <w:sz w:val="20"/>
          <w:szCs w:val="20"/>
          <w:lang w:eastAsia="lv-LV"/>
        </w:rPr>
      </w:pPr>
      <w:r w:rsidRPr="00C85D48">
        <w:rPr>
          <w:rFonts w:ascii="Arial" w:eastAsia="Times New Roman" w:hAnsi="Arial" w:cs="Arial"/>
          <w:color w:val="595959"/>
          <w:sz w:val="20"/>
          <w:szCs w:val="20"/>
          <w:lang w:eastAsia="lv-LV"/>
        </w:rPr>
        <w:t>10 individuālas psihologa konsultācijas (10h);</w:t>
      </w:r>
    </w:p>
    <w:p w14:paraId="0ECED76D" w14:textId="77777777" w:rsidR="00C85D48" w:rsidRPr="00C85D48" w:rsidRDefault="00C85D48" w:rsidP="00C85D48">
      <w:pPr>
        <w:numPr>
          <w:ilvl w:val="0"/>
          <w:numId w:val="1"/>
        </w:numPr>
        <w:spacing w:before="29" w:after="0" w:line="240" w:lineRule="auto"/>
        <w:ind w:right="78"/>
        <w:contextualSpacing/>
        <w:jc w:val="both"/>
        <w:rPr>
          <w:rFonts w:ascii="Arial" w:eastAsia="Times New Roman" w:hAnsi="Arial" w:cs="Arial"/>
          <w:color w:val="595959"/>
          <w:sz w:val="20"/>
          <w:szCs w:val="20"/>
          <w:lang w:eastAsia="lv-LV"/>
        </w:rPr>
      </w:pPr>
      <w:r w:rsidRPr="00C85D48">
        <w:rPr>
          <w:rFonts w:ascii="Arial" w:eastAsia="Times New Roman" w:hAnsi="Arial" w:cs="Arial"/>
          <w:color w:val="595959"/>
          <w:sz w:val="20"/>
          <w:szCs w:val="20"/>
          <w:lang w:eastAsia="lv-LV"/>
        </w:rPr>
        <w:t>3 jurista konsultācijas (3h);</w:t>
      </w:r>
    </w:p>
    <w:p w14:paraId="302B1DC8" w14:textId="77777777" w:rsidR="00C85D48" w:rsidRPr="00C85D48" w:rsidRDefault="00C85D48" w:rsidP="00C85D48">
      <w:pPr>
        <w:numPr>
          <w:ilvl w:val="0"/>
          <w:numId w:val="1"/>
        </w:numPr>
        <w:spacing w:before="29" w:after="0" w:line="240" w:lineRule="auto"/>
        <w:ind w:right="78"/>
        <w:contextualSpacing/>
        <w:jc w:val="both"/>
        <w:rPr>
          <w:rFonts w:ascii="Arial" w:eastAsia="Times New Roman" w:hAnsi="Arial" w:cs="Arial"/>
          <w:color w:val="595959"/>
          <w:sz w:val="20"/>
          <w:szCs w:val="20"/>
          <w:lang w:eastAsia="lv-LV"/>
        </w:rPr>
      </w:pPr>
      <w:r w:rsidRPr="00C85D48">
        <w:rPr>
          <w:rFonts w:ascii="Arial" w:eastAsia="Times New Roman" w:hAnsi="Arial" w:cs="Arial"/>
          <w:color w:val="595959"/>
          <w:sz w:val="20"/>
          <w:szCs w:val="20"/>
          <w:lang w:eastAsia="lv-LV"/>
        </w:rPr>
        <w:t xml:space="preserve">3 karjeras konsultanta konsultācijas (3h). </w:t>
      </w:r>
    </w:p>
    <w:p w14:paraId="01224971" w14:textId="77777777" w:rsidR="00C85D48" w:rsidRPr="00C85D48" w:rsidRDefault="00C85D48" w:rsidP="00C85D48">
      <w:pPr>
        <w:spacing w:line="240" w:lineRule="auto"/>
        <w:jc w:val="both"/>
        <w:rPr>
          <w:rFonts w:ascii="Arial" w:eastAsia="Times New Roman" w:hAnsi="Arial" w:cs="Arial"/>
          <w:color w:val="595959"/>
          <w:sz w:val="20"/>
          <w:szCs w:val="20"/>
        </w:rPr>
      </w:pPr>
    </w:p>
    <w:p w14:paraId="1B6827FB" w14:textId="77777777" w:rsidR="00C85D48" w:rsidRPr="00C85D48" w:rsidRDefault="00C85D48" w:rsidP="00C85D48">
      <w:pPr>
        <w:spacing w:line="240" w:lineRule="auto"/>
        <w:jc w:val="both"/>
        <w:rPr>
          <w:rFonts w:ascii="Arial" w:eastAsia="Times New Roman" w:hAnsi="Arial" w:cs="Arial"/>
          <w:b/>
          <w:color w:val="595959"/>
          <w:sz w:val="20"/>
          <w:szCs w:val="20"/>
        </w:rPr>
      </w:pPr>
      <w:bookmarkStart w:id="2" w:name="_Hlk33176183"/>
      <w:r w:rsidRPr="00C85D48">
        <w:rPr>
          <w:rFonts w:ascii="Arial" w:eastAsia="Times New Roman" w:hAnsi="Arial" w:cs="Arial"/>
          <w:color w:val="595959"/>
          <w:sz w:val="20"/>
          <w:szCs w:val="20"/>
        </w:rPr>
        <w:t xml:space="preserve">Uz </w:t>
      </w:r>
      <w:proofErr w:type="spellStart"/>
      <w:r w:rsidRPr="00C85D48">
        <w:rPr>
          <w:rFonts w:ascii="Arial" w:eastAsia="Times New Roman" w:hAnsi="Arial" w:cs="Arial"/>
          <w:color w:val="595959"/>
          <w:sz w:val="20"/>
          <w:szCs w:val="20"/>
        </w:rPr>
        <w:t>vidusposma</w:t>
      </w:r>
      <w:proofErr w:type="spellEnd"/>
      <w:r w:rsidRPr="00C85D48">
        <w:rPr>
          <w:rFonts w:ascii="Arial" w:eastAsia="Times New Roman" w:hAnsi="Arial" w:cs="Arial"/>
          <w:color w:val="595959"/>
          <w:sz w:val="20"/>
          <w:szCs w:val="20"/>
        </w:rPr>
        <w:t xml:space="preserve"> </w:t>
      </w:r>
      <w:proofErr w:type="spellStart"/>
      <w:r w:rsidRPr="00C85D48">
        <w:rPr>
          <w:rFonts w:ascii="Arial" w:eastAsia="Times New Roman" w:hAnsi="Arial" w:cs="Arial"/>
          <w:color w:val="595959"/>
          <w:sz w:val="20"/>
          <w:szCs w:val="20"/>
        </w:rPr>
        <w:t>izvērtējuma</w:t>
      </w:r>
      <w:proofErr w:type="spellEnd"/>
      <w:r w:rsidRPr="00C85D48">
        <w:rPr>
          <w:rFonts w:ascii="Arial" w:eastAsia="Times New Roman" w:hAnsi="Arial" w:cs="Arial"/>
          <w:color w:val="595959"/>
          <w:sz w:val="20"/>
          <w:szCs w:val="20"/>
        </w:rPr>
        <w:t xml:space="preserve"> veikšanas brīdi motivācijas programmā 1.un 2.kārtā ir tikusi iesaistīta 931 mērķa grupas persona, kas veido aptuveni 30% no sākotnēji plānotajiem dalībniekiem līdz projekta īstenošanas beigām</w:t>
      </w:r>
      <w:bookmarkEnd w:id="2"/>
      <w:r w:rsidRPr="00C85D48">
        <w:rPr>
          <w:rFonts w:ascii="Arial" w:eastAsia="Times New Roman" w:hAnsi="Arial" w:cs="Arial"/>
          <w:color w:val="595959"/>
          <w:sz w:val="20"/>
          <w:szCs w:val="20"/>
        </w:rPr>
        <w:t>. Sasniedzamie rezultāta rādītāji ESF investīcijām ir noteikti 2013.gada 17.decembra Eiropas parlamenta un Padomes regula (ES) Nr. 1304/2013 par Eiropas Sociālo fondu un ar ko atceļ Padomes Regulu (EK) Nr. 1081/2006 1.pielikumā</w:t>
      </w:r>
      <w:r w:rsidRPr="00C85D48">
        <w:rPr>
          <w:rFonts w:ascii="Arial" w:eastAsia="Times New Roman" w:hAnsi="Arial" w:cs="Arial"/>
          <w:color w:val="595959"/>
          <w:sz w:val="20"/>
          <w:szCs w:val="20"/>
          <w:vertAlign w:val="superscript"/>
        </w:rPr>
        <w:footnoteReference w:id="6"/>
      </w:r>
      <w:r w:rsidRPr="00C85D48">
        <w:rPr>
          <w:rFonts w:ascii="Arial" w:eastAsia="Times New Roman" w:hAnsi="Arial" w:cs="Arial"/>
          <w:color w:val="595959"/>
          <w:sz w:val="20"/>
          <w:szCs w:val="20"/>
        </w:rPr>
        <w:t>. Kopējie definētie tūlītējo rezultātu rādītāji dalībniekiem ir:</w:t>
      </w:r>
    </w:p>
    <w:p w14:paraId="05D276F2" w14:textId="77777777" w:rsidR="00C85D48" w:rsidRPr="00C85D48" w:rsidRDefault="00C85D48" w:rsidP="00C85D48">
      <w:pPr>
        <w:numPr>
          <w:ilvl w:val="0"/>
          <w:numId w:val="2"/>
        </w:numPr>
        <w:spacing w:after="100" w:afterAutospacing="1" w:line="240" w:lineRule="auto"/>
        <w:contextualSpacing/>
        <w:jc w:val="both"/>
        <w:rPr>
          <w:rFonts w:ascii="Arial" w:eastAsia="Times New Roman" w:hAnsi="Arial" w:cs="Arial"/>
          <w:b/>
          <w:color w:val="595959"/>
          <w:sz w:val="20"/>
          <w:szCs w:val="20"/>
        </w:rPr>
      </w:pPr>
      <w:r w:rsidRPr="00C85D48">
        <w:rPr>
          <w:rFonts w:ascii="Arial" w:eastAsia="Times New Roman" w:hAnsi="Arial" w:cs="Arial"/>
          <w:color w:val="595959"/>
          <w:sz w:val="20"/>
          <w:szCs w:val="20"/>
        </w:rPr>
        <w:t>neaktīvie dalībnieki, kas sākuši darba meklējumus pēc aiziešanas</w:t>
      </w:r>
      <w:r w:rsidRPr="00C85D48">
        <w:rPr>
          <w:rFonts w:ascii="Arial" w:eastAsia="Times New Roman" w:hAnsi="Arial" w:cs="Arial"/>
          <w:color w:val="595959"/>
          <w:sz w:val="20"/>
          <w:szCs w:val="20"/>
          <w:vertAlign w:val="superscript"/>
        </w:rPr>
        <w:footnoteReference w:id="7"/>
      </w:r>
    </w:p>
    <w:p w14:paraId="7629C7B6" w14:textId="77777777" w:rsidR="00C85D48" w:rsidRPr="00C85D48" w:rsidRDefault="00C85D48" w:rsidP="00C85D48">
      <w:pPr>
        <w:numPr>
          <w:ilvl w:val="0"/>
          <w:numId w:val="2"/>
        </w:numPr>
        <w:spacing w:before="100" w:beforeAutospacing="1" w:after="100" w:afterAutospacing="1" w:line="240" w:lineRule="auto"/>
        <w:contextualSpacing/>
        <w:jc w:val="both"/>
        <w:rPr>
          <w:rFonts w:ascii="Arial" w:eastAsia="Times New Roman" w:hAnsi="Arial" w:cs="Arial"/>
          <w:b/>
          <w:color w:val="595959"/>
          <w:sz w:val="20"/>
          <w:szCs w:val="20"/>
        </w:rPr>
      </w:pPr>
      <w:r w:rsidRPr="00C85D48">
        <w:rPr>
          <w:rFonts w:ascii="Arial" w:eastAsia="Times New Roman" w:hAnsi="Arial" w:cs="Arial"/>
          <w:color w:val="595959"/>
          <w:sz w:val="20"/>
          <w:szCs w:val="20"/>
        </w:rPr>
        <w:t>izglītībā/apmācībā iesaistītie dalībnieki pēc aiziešanas</w:t>
      </w:r>
    </w:p>
    <w:p w14:paraId="3BDF969A" w14:textId="77777777" w:rsidR="00C85D48" w:rsidRPr="00C85D48" w:rsidRDefault="00C85D48" w:rsidP="00C85D48">
      <w:pPr>
        <w:numPr>
          <w:ilvl w:val="0"/>
          <w:numId w:val="2"/>
        </w:numPr>
        <w:spacing w:before="100" w:beforeAutospacing="1" w:after="100" w:afterAutospacing="1" w:line="240" w:lineRule="auto"/>
        <w:contextualSpacing/>
        <w:jc w:val="both"/>
        <w:rPr>
          <w:rFonts w:ascii="Arial" w:eastAsia="Times New Roman" w:hAnsi="Arial" w:cs="Arial"/>
          <w:b/>
          <w:color w:val="595959"/>
          <w:sz w:val="20"/>
          <w:szCs w:val="20"/>
        </w:rPr>
      </w:pPr>
      <w:r w:rsidRPr="00C85D48">
        <w:rPr>
          <w:rFonts w:ascii="Arial" w:eastAsia="Times New Roman" w:hAnsi="Arial" w:cs="Arial"/>
          <w:color w:val="595959"/>
          <w:sz w:val="20"/>
          <w:szCs w:val="20"/>
        </w:rPr>
        <w:t>kvalifikācijas ieguvē iesaistītie dalībnieki pēc aiziešanas</w:t>
      </w:r>
    </w:p>
    <w:p w14:paraId="0BA16F62" w14:textId="77777777" w:rsidR="00C85D48" w:rsidRPr="00C85D48" w:rsidRDefault="00C85D48" w:rsidP="00C85D48">
      <w:pPr>
        <w:numPr>
          <w:ilvl w:val="0"/>
          <w:numId w:val="2"/>
        </w:numPr>
        <w:spacing w:before="100" w:beforeAutospacing="1" w:after="100" w:afterAutospacing="1" w:line="240" w:lineRule="auto"/>
        <w:contextualSpacing/>
        <w:jc w:val="both"/>
        <w:rPr>
          <w:rFonts w:ascii="Arial" w:eastAsia="Times New Roman" w:hAnsi="Arial" w:cs="Arial"/>
          <w:bCs/>
          <w:color w:val="595959"/>
          <w:sz w:val="20"/>
          <w:szCs w:val="20"/>
        </w:rPr>
      </w:pPr>
      <w:r w:rsidRPr="00C85D48">
        <w:rPr>
          <w:rFonts w:ascii="Arial" w:eastAsia="Times New Roman" w:hAnsi="Arial" w:cs="Arial"/>
          <w:color w:val="595959"/>
          <w:sz w:val="20"/>
          <w:szCs w:val="20"/>
        </w:rPr>
        <w:t xml:space="preserve">nodarbinātībā iesaistītie dalībnieki, tostarp </w:t>
      </w:r>
      <w:proofErr w:type="spellStart"/>
      <w:r w:rsidRPr="00C85D48">
        <w:rPr>
          <w:rFonts w:ascii="Arial" w:eastAsia="Times New Roman" w:hAnsi="Arial" w:cs="Arial"/>
          <w:color w:val="595959"/>
          <w:sz w:val="20"/>
          <w:szCs w:val="20"/>
        </w:rPr>
        <w:t>pašnodarbinātie</w:t>
      </w:r>
      <w:proofErr w:type="spellEnd"/>
      <w:r w:rsidRPr="00C85D48">
        <w:rPr>
          <w:rFonts w:ascii="Arial" w:eastAsia="Times New Roman" w:hAnsi="Arial" w:cs="Arial"/>
          <w:color w:val="595959"/>
          <w:sz w:val="20"/>
          <w:szCs w:val="20"/>
        </w:rPr>
        <w:t>, pēc aiziešanas</w:t>
      </w:r>
      <w:r w:rsidRPr="00C85D48">
        <w:rPr>
          <w:rFonts w:ascii="Arial" w:eastAsia="Times New Roman" w:hAnsi="Arial" w:cs="Arial"/>
          <w:color w:val="595959"/>
          <w:sz w:val="20"/>
          <w:szCs w:val="20"/>
          <w:vertAlign w:val="superscript"/>
        </w:rPr>
        <w:footnoteReference w:id="8"/>
      </w:r>
      <w:r w:rsidRPr="00C85D48">
        <w:rPr>
          <w:rFonts w:ascii="Arial" w:eastAsia="Times New Roman" w:hAnsi="Arial" w:cs="Arial"/>
          <w:color w:val="595959"/>
          <w:sz w:val="20"/>
          <w:szCs w:val="20"/>
        </w:rPr>
        <w:t>.</w:t>
      </w:r>
    </w:p>
    <w:p w14:paraId="4B3AC97C" w14:textId="77777777" w:rsidR="00C85D48" w:rsidRPr="00C85D48" w:rsidRDefault="00C85D48" w:rsidP="00C85D48">
      <w:pPr>
        <w:spacing w:before="100" w:beforeAutospacing="1" w:after="100" w:afterAutospacing="1" w:line="240" w:lineRule="auto"/>
        <w:jc w:val="both"/>
        <w:rPr>
          <w:rFonts w:ascii="Arial" w:eastAsia="Times New Roman" w:hAnsi="Arial" w:cs="Arial"/>
          <w:bCs/>
          <w:color w:val="595959"/>
          <w:sz w:val="20"/>
          <w:szCs w:val="20"/>
        </w:rPr>
      </w:pPr>
      <w:r w:rsidRPr="00C85D48">
        <w:rPr>
          <w:rFonts w:ascii="Arial" w:eastAsia="Times New Roman" w:hAnsi="Arial" w:cs="Arial"/>
          <w:color w:val="595959"/>
          <w:sz w:val="20"/>
          <w:szCs w:val="20"/>
        </w:rPr>
        <w:t>Atbilstošie SIF sniegtajiem datiem rezultāta rādītājs ir sasniegts 355 personām (</w:t>
      </w:r>
      <w:r w:rsidRPr="00C85D48">
        <w:rPr>
          <w:rFonts w:ascii="Arial" w:eastAsia="Times New Roman" w:hAnsi="Arial" w:cs="Arial"/>
          <w:color w:val="595959"/>
          <w:sz w:val="20"/>
          <w:szCs w:val="20"/>
          <w:lang w:eastAsia="lv-LV"/>
        </w:rPr>
        <w:t xml:space="preserve">19,72% no plānotā). </w:t>
      </w:r>
      <w:r w:rsidRPr="00C85D48">
        <w:rPr>
          <w:rFonts w:ascii="Arial" w:eastAsia="Times New Roman" w:hAnsi="Arial" w:cs="Arial"/>
          <w:color w:val="595959"/>
          <w:sz w:val="20"/>
          <w:szCs w:val="20"/>
        </w:rPr>
        <w:t xml:space="preserve"> Rezultāta rādītājs dažādos reģionos ir atšķirīgs ar visai augstu amplitūdu - no 5,83% </w:t>
      </w:r>
      <w:proofErr w:type="spellStart"/>
      <w:r w:rsidRPr="00C85D48">
        <w:rPr>
          <w:rFonts w:ascii="Arial" w:eastAsia="Times New Roman" w:hAnsi="Arial" w:cs="Arial"/>
          <w:color w:val="595959"/>
          <w:sz w:val="20"/>
          <w:szCs w:val="20"/>
        </w:rPr>
        <w:t>Ziemeļkurzemē</w:t>
      </w:r>
      <w:proofErr w:type="spellEnd"/>
      <w:r w:rsidRPr="00C85D48">
        <w:rPr>
          <w:rFonts w:ascii="Arial" w:eastAsia="Times New Roman" w:hAnsi="Arial" w:cs="Arial"/>
          <w:color w:val="595959"/>
          <w:sz w:val="20"/>
          <w:szCs w:val="20"/>
        </w:rPr>
        <w:t xml:space="preserve"> līdz 77,5% </w:t>
      </w:r>
      <w:proofErr w:type="spellStart"/>
      <w:r w:rsidRPr="00C85D48">
        <w:rPr>
          <w:rFonts w:ascii="Arial" w:eastAsia="Times New Roman" w:hAnsi="Arial" w:cs="Arial"/>
          <w:color w:val="595959"/>
          <w:sz w:val="20"/>
          <w:szCs w:val="20"/>
        </w:rPr>
        <w:t>Dienvidkurzemes</w:t>
      </w:r>
      <w:proofErr w:type="spellEnd"/>
      <w:r w:rsidRPr="00C85D48">
        <w:rPr>
          <w:rFonts w:ascii="Arial" w:eastAsia="Times New Roman" w:hAnsi="Arial" w:cs="Arial"/>
          <w:color w:val="595959"/>
          <w:sz w:val="20"/>
          <w:szCs w:val="20"/>
        </w:rPr>
        <w:t xml:space="preserve"> reģionā. Rezultāta rādītāju atšķirības ir novērojamas arī sadalījumā pa mērķa grupām. Visaugstākie rezultāta rādītāji ir tām personām, kas diskriminācijas riskam pakļautas etniskās piederības dēļ.</w:t>
      </w:r>
      <w:r w:rsidRPr="00C85D48">
        <w:rPr>
          <w:rFonts w:ascii="Arial" w:eastAsia="Times New Roman" w:hAnsi="Arial" w:cs="Arial"/>
          <w:bCs/>
          <w:color w:val="595959"/>
          <w:sz w:val="20"/>
          <w:szCs w:val="20"/>
        </w:rPr>
        <w:t xml:space="preserve"> </w:t>
      </w:r>
      <w:r w:rsidRPr="00C85D48">
        <w:rPr>
          <w:rFonts w:ascii="Arial" w:eastAsia="Times New Roman" w:hAnsi="Arial" w:cs="Arial"/>
          <w:color w:val="595959"/>
          <w:sz w:val="20"/>
          <w:szCs w:val="20"/>
        </w:rPr>
        <w:t>Izpētē konstatēts, ka rezultāta rādītāju atšķirības starp reģioniem ietekmē vairāki faktori - pakalpojuma sniedzēja organizācijas kultūra, mērķa grupas personu motivācija, darba organizācija (iesaistīto speciālistu komanda un sadarbības forma) un tas, kas notiek reģionā kopumā (</w:t>
      </w:r>
      <w:proofErr w:type="spellStart"/>
      <w:r w:rsidRPr="00C85D48">
        <w:rPr>
          <w:rFonts w:ascii="Arial" w:eastAsia="Times New Roman" w:hAnsi="Arial" w:cs="Arial"/>
          <w:color w:val="595959"/>
          <w:sz w:val="20"/>
          <w:szCs w:val="20"/>
        </w:rPr>
        <w:t>sociālekonosmiskā</w:t>
      </w:r>
      <w:proofErr w:type="spellEnd"/>
      <w:r w:rsidRPr="00C85D48">
        <w:rPr>
          <w:rFonts w:ascii="Arial" w:eastAsia="Times New Roman" w:hAnsi="Arial" w:cs="Arial"/>
          <w:color w:val="595959"/>
          <w:sz w:val="20"/>
          <w:szCs w:val="20"/>
        </w:rPr>
        <w:t xml:space="preserve"> situācija reģionos), ietekmē motivācijas programmas rezultāta  rādītāju sasniegšanu. </w:t>
      </w:r>
      <w:r w:rsidRPr="00C85D48">
        <w:rPr>
          <w:rFonts w:ascii="Arial" w:eastAsia="Times New Roman" w:hAnsi="Arial" w:cs="Arial"/>
          <w:bCs/>
          <w:color w:val="595959"/>
          <w:sz w:val="20"/>
          <w:szCs w:val="20"/>
        </w:rPr>
        <w:t>L</w:t>
      </w:r>
      <w:r w:rsidRPr="00C85D48">
        <w:rPr>
          <w:rFonts w:ascii="Arial" w:eastAsia="Times New Roman" w:hAnsi="Arial" w:cs="Arial"/>
          <w:color w:val="595959"/>
          <w:sz w:val="20"/>
          <w:szCs w:val="20"/>
        </w:rPr>
        <w:t xml:space="preserve">ai veicinātu projekta rezultatīvā rādītāja sniegumu, SIF ierosināja izmaiņas gan </w:t>
      </w:r>
      <w:r w:rsidRPr="00C85D48">
        <w:rPr>
          <w:rFonts w:ascii="Arial" w:eastAsia="Times New Roman" w:hAnsi="Arial" w:cs="Arial"/>
          <w:color w:val="595959"/>
          <w:sz w:val="20"/>
          <w:szCs w:val="20"/>
        </w:rPr>
        <w:lastRenderedPageBreak/>
        <w:t>izmaksas nosacījumos par vienu motivācijas programmas mērķa grupas personu, gan akcentēja kvalitātes rādītāju nozīmi pakalpojuma sniedzējiem. SIF pārstāvji uzskata, ka pakalpojuma sniedzējam ir stratēģiski pareizi jādomā par motivācijas programmas rezultāta rādītāju sasniegšanu, taču vienlaicīgi, lai sasniegtu rezultāta rādītāju, nedrīkst pasliktināt motivācijas programmas klienta stāvokli un situāciju.</w:t>
      </w:r>
    </w:p>
    <w:p w14:paraId="29506D72" w14:textId="77777777" w:rsidR="00C85D48" w:rsidRPr="00C85D48" w:rsidRDefault="00C85D48" w:rsidP="00C85D48">
      <w:pPr>
        <w:jc w:val="both"/>
        <w:rPr>
          <w:rFonts w:ascii="Arial" w:eastAsia="Times New Roman" w:hAnsi="Arial" w:cs="Arial"/>
          <w:color w:val="595959"/>
          <w:sz w:val="20"/>
          <w:szCs w:val="20"/>
        </w:rPr>
      </w:pPr>
      <w:proofErr w:type="spellStart"/>
      <w:r w:rsidRPr="00C85D48">
        <w:rPr>
          <w:rFonts w:ascii="Arial" w:eastAsia="Times New Roman" w:hAnsi="Arial" w:cs="Arial"/>
          <w:color w:val="595959"/>
          <w:sz w:val="20"/>
          <w:szCs w:val="20"/>
        </w:rPr>
        <w:t>Izvērtējuma</w:t>
      </w:r>
      <w:proofErr w:type="spellEnd"/>
      <w:r w:rsidRPr="00C85D48">
        <w:rPr>
          <w:rFonts w:ascii="Arial" w:eastAsia="Times New Roman" w:hAnsi="Arial" w:cs="Arial"/>
          <w:color w:val="595959"/>
          <w:sz w:val="20"/>
          <w:szCs w:val="20"/>
        </w:rPr>
        <w:t xml:space="preserve"> gaitā iegūtie dati liecina, ka vairums programmas dalībnieku ir bezdarbnieki ar ļoti komplicētu sociālo portretu, kuru grūtības integrēties darba tirgū, lai gūtu ienākumus no algota darba savu pamatvajadzību apmierināšanai, papildus atstumtības dimensijām visbiežāk ir saistītas ar citām individuālām problēmām, kā veselības, saskarsmes, uzvedības, finansiālām, mājokļa u.c. problēmām, sociālo prasmju trūkumu un zemu nodarbinātības spējas līmeni. Cilvēki, kas ilgāku laiku bijuši bezdarbnieki, izjūt mazāku uzticēšanos saviem līdzcilvēkiem un sabiedrībai kopumā, kā arī cieš no pazeminātas pašapziņas. Tāpat jāatzīmē, ka saistība starp bezdarbu un sociālo atstumtību nav viennozīmīga, un bezdarbs var izraisīt sociālo atstumtību, bet darbs negarantē tās neesamību, t.i., darbam jābūt stabilam, ilgtspējīgam un pietiekami labi apmaksātam.</w:t>
      </w:r>
    </w:p>
    <w:p w14:paraId="0D836843" w14:textId="77777777" w:rsidR="00C85D48" w:rsidRPr="00C85D48" w:rsidRDefault="00C85D48" w:rsidP="00C85D48">
      <w:pPr>
        <w:jc w:val="both"/>
        <w:rPr>
          <w:rFonts w:ascii="Arial" w:eastAsia="Times New Roman" w:hAnsi="Arial" w:cs="Arial"/>
          <w:color w:val="595959"/>
          <w:sz w:val="20"/>
          <w:szCs w:val="20"/>
        </w:rPr>
      </w:pPr>
      <w:r w:rsidRPr="00C85D48">
        <w:rPr>
          <w:rFonts w:ascii="Arial" w:eastAsia="Times New Roman" w:hAnsi="Arial" w:cs="Arial"/>
          <w:color w:val="595959"/>
          <w:sz w:val="20"/>
          <w:szCs w:val="20"/>
        </w:rPr>
        <w:t xml:space="preserve">Minētās atziņas akcentē sociālās atstumtības dimensiju dziļumu un sarežģītību, kas liek secināt, ka rezultāts jeb motivācijas programmas kvalitātes rādītājs nevar būt universāls visiem programmas dalībniekiem, jo katra individuālā programmas dalībnieka sociālā situācija, sociālās funkcionēšanas līmenis un distance no sabiedrības un darba tirgus, uzsākot dalību motivācijas programmā, būs individuāli atšķirīga. Vairumā gadījumu mērķa grupu pārstāvji (ar izņēmumiem) nav gatavi nekavējoties izmantot pieejamo atbalstu un pakalpojumus iepriekšminēto mērķa grupas pazīmju dēļ un ir nepieciešams veikt individuālu darbu ar mērķi stabilizēt un aktivizēt klientu, kā arī atjaunot nodarbinātības spēju. Saskaņā ar šiem apsvērumiem, katra individuāla programmas dalībnieka sasniedzamais rezultāts sešos mēnešos būs individuāli atšķirīgs – ja kādam mērķa grupas pārstāvim tas var būt darba līgums, tad citam indivīdam sasniegums var būt sociālās situācijas lejupslīdes apstādināšana un esošā sociālās funkcionēšanas līmeņa saglabāšana. Bieži motivācijas programmas rezultātā ir profesionāli novērojamas pozitīvas un nozīmīgas izmaiņas programmas dalībnieka uzvedībā un dzīvē, bet tās neatbilst definētajiem rezultāta rādītājiem.. Šādas situācijas, kad pārmaiņu rezultāts reāli ir, bet formāli nav, ētiskā plāksnē nepamatoti diskreditē pašu motivācijas programmu gan no programmas dalībnieka, gan pakalpojuma sniedzēja viedokļa. </w:t>
      </w:r>
    </w:p>
    <w:p w14:paraId="05438E83" w14:textId="77777777" w:rsidR="00C85D48" w:rsidRPr="00C85D48" w:rsidRDefault="00C85D48" w:rsidP="00C85D48">
      <w:pPr>
        <w:jc w:val="both"/>
        <w:rPr>
          <w:rFonts w:ascii="Arial" w:eastAsia="Times New Roman" w:hAnsi="Arial" w:cs="Arial"/>
          <w:color w:val="595959"/>
          <w:sz w:val="20"/>
          <w:szCs w:val="20"/>
        </w:rPr>
      </w:pPr>
      <w:r w:rsidRPr="00C85D48">
        <w:rPr>
          <w:rFonts w:ascii="Arial" w:eastAsia="Times New Roman" w:hAnsi="Arial" w:cs="Arial"/>
          <w:color w:val="595959"/>
          <w:sz w:val="20"/>
          <w:szCs w:val="20"/>
        </w:rPr>
        <w:t xml:space="preserve">Vienlaikus jānorāda, ka integrācija darba tirgū nav iespējama bez piemērotu darba vietu piedāvājuma, un </w:t>
      </w:r>
      <w:proofErr w:type="spellStart"/>
      <w:r w:rsidRPr="00C85D48">
        <w:rPr>
          <w:rFonts w:ascii="Arial" w:eastAsia="Times New Roman" w:hAnsi="Arial" w:cs="Arial"/>
          <w:color w:val="595959"/>
          <w:sz w:val="20"/>
          <w:szCs w:val="20"/>
        </w:rPr>
        <w:t>izvērtējuma</w:t>
      </w:r>
      <w:proofErr w:type="spellEnd"/>
      <w:r w:rsidRPr="00C85D48">
        <w:rPr>
          <w:rFonts w:ascii="Arial" w:eastAsia="Times New Roman" w:hAnsi="Arial" w:cs="Arial"/>
          <w:color w:val="595959"/>
          <w:sz w:val="20"/>
          <w:szCs w:val="20"/>
        </w:rPr>
        <w:t xml:space="preserve"> gaitā iegūtie dati liecina, ka atsevišķās Latgales pašvaldībās motivācijas programmai zūd jēga tieši reģionālās ekonomiskās stagnācijas dēļ. Var pieņemt, ka, ja motivācijas programma tiktu īstenota sinerģijā ar citiem sociālās atstumtības mazināšanas un nodarbinātības veicināšanas pasākumiem, tad darba pieprasījuma pielāgošanai atsevišķu iedzīvotāju grupu darba piedāvājuma specifikai varētu būt nozīmīga loma gan sociālās atstumtības, gan darbaroku trūkuma mazināšana. Arī pētījumā „Motivācijas paaugstināšanas un atbalsta pakalpojumu potenciālās mērķa grupas profilēšana un vajadzību izpēte”</w:t>
      </w:r>
      <w:r w:rsidRPr="00C85D48">
        <w:rPr>
          <w:rFonts w:ascii="Arial" w:eastAsia="Times New Roman" w:hAnsi="Arial" w:cs="Arial"/>
          <w:color w:val="595959"/>
          <w:sz w:val="20"/>
          <w:szCs w:val="20"/>
          <w:vertAlign w:val="superscript"/>
        </w:rPr>
        <w:footnoteReference w:id="9"/>
      </w:r>
      <w:r w:rsidRPr="00C85D48">
        <w:rPr>
          <w:rFonts w:ascii="Arial" w:eastAsia="Times New Roman" w:hAnsi="Arial" w:cs="Arial"/>
          <w:color w:val="595959"/>
          <w:sz w:val="20"/>
          <w:szCs w:val="20"/>
          <w:vertAlign w:val="superscript"/>
        </w:rPr>
        <w:t xml:space="preserve"> </w:t>
      </w:r>
      <w:r w:rsidRPr="00C85D48">
        <w:rPr>
          <w:rFonts w:ascii="Arial" w:eastAsia="Times New Roman" w:hAnsi="Arial" w:cs="Arial"/>
          <w:color w:val="595959"/>
          <w:sz w:val="20"/>
          <w:szCs w:val="20"/>
        </w:rPr>
        <w:t xml:space="preserve">iegūtā informācija jau iepriekš ļāvusi identificēt risku, ka ne vienmēr sniegtais atbalsts varēs garantēt plānotā rezultāta nodrošināšanu, jo nelabvēlīgā situācijā esošie Latvijas iedzīvotāji noteiktos gadījumos saskaras ar pārāk nelabvēlīgu sociāli-ekonomisko fonu un ļoti būtiskiem ierobežojumiem. </w:t>
      </w:r>
      <w:proofErr w:type="spellStart"/>
      <w:r w:rsidRPr="00C85D48">
        <w:rPr>
          <w:rFonts w:ascii="Arial" w:eastAsia="Times New Roman" w:hAnsi="Arial" w:cs="Arial"/>
          <w:color w:val="595959"/>
          <w:sz w:val="20"/>
          <w:szCs w:val="20"/>
        </w:rPr>
        <w:t>Izvērtējuma</w:t>
      </w:r>
      <w:proofErr w:type="spellEnd"/>
      <w:r w:rsidRPr="00C85D48">
        <w:rPr>
          <w:rFonts w:ascii="Arial" w:eastAsia="Times New Roman" w:hAnsi="Arial" w:cs="Arial"/>
          <w:color w:val="595959"/>
          <w:sz w:val="20"/>
          <w:szCs w:val="20"/>
        </w:rPr>
        <w:t xml:space="preserve"> gaitā ir gūta informācija, kas apstiprina šo pieņēmumu. </w:t>
      </w:r>
    </w:p>
    <w:p w14:paraId="69D4FC41" w14:textId="77777777" w:rsidR="00F74E70" w:rsidRDefault="00F74E70"/>
    <w:sectPr w:rsidR="00F74E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60597" w14:textId="77777777" w:rsidR="008F0F12" w:rsidRDefault="008F0F12" w:rsidP="00C85D48">
      <w:pPr>
        <w:spacing w:after="0" w:line="240" w:lineRule="auto"/>
      </w:pPr>
      <w:r>
        <w:separator/>
      </w:r>
    </w:p>
  </w:endnote>
  <w:endnote w:type="continuationSeparator" w:id="0">
    <w:p w14:paraId="71C48CA6" w14:textId="77777777" w:rsidR="008F0F12" w:rsidRDefault="008F0F12" w:rsidP="00C85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F0D8C" w14:textId="77777777" w:rsidR="008F0F12" w:rsidRDefault="008F0F12" w:rsidP="00C85D48">
      <w:pPr>
        <w:spacing w:after="0" w:line="240" w:lineRule="auto"/>
      </w:pPr>
      <w:r>
        <w:separator/>
      </w:r>
    </w:p>
  </w:footnote>
  <w:footnote w:type="continuationSeparator" w:id="0">
    <w:p w14:paraId="7347C0BA" w14:textId="77777777" w:rsidR="008F0F12" w:rsidRDefault="008F0F12" w:rsidP="00C85D48">
      <w:pPr>
        <w:spacing w:after="0" w:line="240" w:lineRule="auto"/>
      </w:pPr>
      <w:r>
        <w:continuationSeparator/>
      </w:r>
    </w:p>
  </w:footnote>
  <w:footnote w:id="1">
    <w:p w14:paraId="0BBEE599" w14:textId="77777777" w:rsidR="00C85D48" w:rsidRPr="00FC23DB" w:rsidRDefault="00C85D48" w:rsidP="00C85D48">
      <w:pPr>
        <w:pStyle w:val="FootnoteText"/>
        <w:rPr>
          <w:b/>
          <w:bCs/>
          <w:sz w:val="18"/>
          <w:szCs w:val="18"/>
        </w:rPr>
      </w:pPr>
      <w:r w:rsidRPr="00C85D48">
        <w:rPr>
          <w:rStyle w:val="FootnoteReference"/>
          <w:rFonts w:eastAsia="Times New Roman"/>
        </w:rPr>
        <w:footnoteRef/>
      </w:r>
      <w:r>
        <w:t xml:space="preserve"> </w:t>
      </w:r>
      <w:r w:rsidRPr="00FC23DB">
        <w:rPr>
          <w:rFonts w:ascii="Arial" w:hAnsi="Arial" w:cs="Arial"/>
          <w:bCs/>
          <w:color w:val="414142"/>
          <w:sz w:val="18"/>
          <w:szCs w:val="18"/>
          <w:shd w:val="clear" w:color="auto" w:fill="FFFFFF"/>
        </w:rPr>
        <w:t xml:space="preserve">Padomes sastāvā ir finansējuma saņēmēja, </w:t>
      </w:r>
      <w:proofErr w:type="spellStart"/>
      <w:r w:rsidRPr="00FC23DB">
        <w:rPr>
          <w:rFonts w:ascii="Arial" w:hAnsi="Arial" w:cs="Arial"/>
          <w:bCs/>
          <w:color w:val="414142"/>
          <w:sz w:val="18"/>
          <w:szCs w:val="18"/>
          <w:shd w:val="clear" w:color="auto" w:fill="FFFFFF"/>
        </w:rPr>
        <w:t>Iekšlietu</w:t>
      </w:r>
      <w:proofErr w:type="spellEnd"/>
      <w:r w:rsidRPr="00FC23DB">
        <w:rPr>
          <w:rFonts w:ascii="Arial" w:hAnsi="Arial" w:cs="Arial"/>
          <w:bCs/>
          <w:color w:val="414142"/>
          <w:sz w:val="18"/>
          <w:szCs w:val="18"/>
          <w:shd w:val="clear" w:color="auto" w:fill="FFFFFF"/>
        </w:rPr>
        <w:t xml:space="preserve"> ministrijas, Izglītības un zinātnes ministrijas, Kultūras ministrijas, Labklājības ministrijas, </w:t>
      </w:r>
      <w:proofErr w:type="spellStart"/>
      <w:r w:rsidRPr="00FC23DB">
        <w:rPr>
          <w:rFonts w:ascii="Arial" w:hAnsi="Arial" w:cs="Arial"/>
          <w:bCs/>
          <w:color w:val="414142"/>
          <w:sz w:val="18"/>
          <w:szCs w:val="18"/>
          <w:shd w:val="clear" w:color="auto" w:fill="FFFFFF"/>
        </w:rPr>
        <w:t>Pārresoru</w:t>
      </w:r>
      <w:proofErr w:type="spellEnd"/>
      <w:r w:rsidRPr="00FC23DB">
        <w:rPr>
          <w:rFonts w:ascii="Arial" w:hAnsi="Arial" w:cs="Arial"/>
          <w:bCs/>
          <w:color w:val="414142"/>
          <w:sz w:val="18"/>
          <w:szCs w:val="18"/>
          <w:shd w:val="clear" w:color="auto" w:fill="FFFFFF"/>
        </w:rPr>
        <w:t xml:space="preserve"> koordinācijas centra, Pilsonības un migrācijas lietu pārvaldes, Latvijas Pašvaldību savienības, nevalstisko organizāciju, Ministru kabineta sadarbības memoranda īstenošanas padomes un citu biedrību un nodibinājumu pārstāvji. Atbildīgās iestādes un finansējuma saņēmēja pārstāvji padomes darbībā piedalās, bet Vadošās iestādes pārstāvji var piedalīties novērotāja statusā.</w:t>
      </w:r>
    </w:p>
  </w:footnote>
  <w:footnote w:id="2">
    <w:p w14:paraId="357AE64A" w14:textId="77777777" w:rsidR="00C85D48" w:rsidRPr="00C85D48" w:rsidRDefault="00C85D48" w:rsidP="00C85D48">
      <w:pPr>
        <w:spacing w:after="0"/>
        <w:rPr>
          <w:rFonts w:ascii="Arial" w:hAnsi="Arial" w:cs="Arial"/>
          <w:color w:val="000000"/>
          <w:sz w:val="18"/>
          <w:szCs w:val="18"/>
        </w:rPr>
      </w:pPr>
      <w:r w:rsidRPr="00C85D48">
        <w:rPr>
          <w:rFonts w:ascii="Arial" w:hAnsi="Arial" w:cs="Arial"/>
          <w:color w:val="000000"/>
          <w:sz w:val="18"/>
          <w:szCs w:val="18"/>
          <w:vertAlign w:val="superscript"/>
        </w:rPr>
        <w:footnoteRef/>
      </w:r>
      <w:r w:rsidRPr="00C85D48">
        <w:rPr>
          <w:rFonts w:ascii="Arial" w:hAnsi="Arial" w:cs="Arial"/>
          <w:color w:val="000000"/>
          <w:sz w:val="18"/>
          <w:szCs w:val="18"/>
        </w:rPr>
        <w:t xml:space="preserve"> </w:t>
      </w:r>
      <w:proofErr w:type="spellStart"/>
      <w:r w:rsidRPr="00C85D48">
        <w:rPr>
          <w:rFonts w:ascii="Arial" w:hAnsi="Arial" w:cs="Arial"/>
          <w:color w:val="000000"/>
          <w:sz w:val="18"/>
          <w:szCs w:val="18"/>
        </w:rPr>
        <w:t>Pawson</w:t>
      </w:r>
      <w:proofErr w:type="spellEnd"/>
      <w:r w:rsidRPr="00C85D48">
        <w:rPr>
          <w:rFonts w:ascii="Arial" w:hAnsi="Arial" w:cs="Arial"/>
          <w:color w:val="000000"/>
          <w:sz w:val="18"/>
          <w:szCs w:val="18"/>
        </w:rPr>
        <w:t xml:space="preserve"> R. </w:t>
      </w:r>
      <w:proofErr w:type="spellStart"/>
      <w:r w:rsidRPr="00C85D48">
        <w:rPr>
          <w:rFonts w:ascii="Arial" w:hAnsi="Arial" w:cs="Arial"/>
          <w:color w:val="000000"/>
          <w:sz w:val="18"/>
          <w:szCs w:val="18"/>
        </w:rPr>
        <w:t>and</w:t>
      </w:r>
      <w:proofErr w:type="spellEnd"/>
      <w:r w:rsidRPr="00C85D48">
        <w:rPr>
          <w:rFonts w:ascii="Arial" w:hAnsi="Arial" w:cs="Arial"/>
          <w:color w:val="000000"/>
          <w:sz w:val="18"/>
          <w:szCs w:val="18"/>
        </w:rPr>
        <w:t xml:space="preserve"> </w:t>
      </w:r>
      <w:proofErr w:type="spellStart"/>
      <w:r w:rsidRPr="00C85D48">
        <w:rPr>
          <w:rFonts w:ascii="Arial" w:hAnsi="Arial" w:cs="Arial"/>
          <w:color w:val="000000"/>
          <w:sz w:val="18"/>
          <w:szCs w:val="18"/>
        </w:rPr>
        <w:t>Tilley</w:t>
      </w:r>
      <w:proofErr w:type="spellEnd"/>
      <w:r w:rsidRPr="00C85D48">
        <w:rPr>
          <w:rFonts w:ascii="Arial" w:hAnsi="Arial" w:cs="Arial"/>
          <w:color w:val="000000"/>
          <w:sz w:val="18"/>
          <w:szCs w:val="18"/>
        </w:rPr>
        <w:t xml:space="preserve"> W. (1997) </w:t>
      </w:r>
      <w:proofErr w:type="spellStart"/>
      <w:r w:rsidRPr="00C85D48">
        <w:rPr>
          <w:rFonts w:ascii="Arial" w:hAnsi="Arial" w:cs="Arial"/>
          <w:color w:val="000000"/>
          <w:sz w:val="18"/>
          <w:szCs w:val="18"/>
        </w:rPr>
        <w:t>Realistic</w:t>
      </w:r>
      <w:proofErr w:type="spellEnd"/>
      <w:r w:rsidRPr="00C85D48">
        <w:rPr>
          <w:rFonts w:ascii="Arial" w:hAnsi="Arial" w:cs="Arial"/>
          <w:color w:val="000000"/>
          <w:sz w:val="18"/>
          <w:szCs w:val="18"/>
        </w:rPr>
        <w:t xml:space="preserve"> </w:t>
      </w:r>
      <w:proofErr w:type="spellStart"/>
      <w:r w:rsidRPr="00C85D48">
        <w:rPr>
          <w:rFonts w:ascii="Arial" w:hAnsi="Arial" w:cs="Arial"/>
          <w:color w:val="000000"/>
          <w:sz w:val="18"/>
          <w:szCs w:val="18"/>
        </w:rPr>
        <w:t>evaluation</w:t>
      </w:r>
      <w:proofErr w:type="spellEnd"/>
      <w:r w:rsidRPr="00C85D48">
        <w:rPr>
          <w:rFonts w:ascii="Arial" w:hAnsi="Arial" w:cs="Arial"/>
          <w:color w:val="000000"/>
          <w:sz w:val="18"/>
          <w:szCs w:val="18"/>
        </w:rPr>
        <w:t xml:space="preserve">, </w:t>
      </w:r>
      <w:proofErr w:type="spellStart"/>
      <w:r w:rsidRPr="00C85D48">
        <w:rPr>
          <w:rFonts w:ascii="Arial" w:hAnsi="Arial" w:cs="Arial"/>
          <w:color w:val="000000"/>
          <w:sz w:val="18"/>
          <w:szCs w:val="18"/>
        </w:rPr>
        <w:t>Sage</w:t>
      </w:r>
      <w:proofErr w:type="spellEnd"/>
      <w:r w:rsidRPr="00C85D48">
        <w:rPr>
          <w:rFonts w:ascii="Arial" w:hAnsi="Arial" w:cs="Arial"/>
          <w:color w:val="000000"/>
          <w:sz w:val="18"/>
          <w:szCs w:val="18"/>
        </w:rPr>
        <w:t>.</w:t>
      </w:r>
    </w:p>
  </w:footnote>
  <w:footnote w:id="3">
    <w:p w14:paraId="46E17834" w14:textId="77777777" w:rsidR="00C85D48" w:rsidRPr="00C85D48" w:rsidRDefault="00C85D48" w:rsidP="00C85D48">
      <w:pPr>
        <w:spacing w:after="0"/>
        <w:rPr>
          <w:rFonts w:ascii="Arial" w:hAnsi="Arial" w:cs="Arial"/>
          <w:color w:val="000000"/>
          <w:sz w:val="18"/>
          <w:szCs w:val="18"/>
        </w:rPr>
      </w:pPr>
      <w:r w:rsidRPr="00C85D48">
        <w:rPr>
          <w:rFonts w:ascii="Arial" w:hAnsi="Arial" w:cs="Arial"/>
          <w:color w:val="000000"/>
          <w:sz w:val="18"/>
          <w:szCs w:val="18"/>
          <w:vertAlign w:val="superscript"/>
        </w:rPr>
        <w:footnoteRef/>
      </w:r>
      <w:r w:rsidRPr="00C85D48">
        <w:rPr>
          <w:rFonts w:ascii="Arial" w:hAnsi="Arial" w:cs="Arial"/>
          <w:color w:val="000000"/>
          <w:sz w:val="18"/>
          <w:szCs w:val="18"/>
        </w:rPr>
        <w:t xml:space="preserve">Anderson A, </w:t>
      </w:r>
      <w:proofErr w:type="spellStart"/>
      <w:r w:rsidRPr="00C85D48">
        <w:rPr>
          <w:rFonts w:ascii="Arial" w:hAnsi="Arial" w:cs="Arial"/>
          <w:color w:val="000000"/>
          <w:sz w:val="18"/>
          <w:szCs w:val="18"/>
        </w:rPr>
        <w:t>The</w:t>
      </w:r>
      <w:proofErr w:type="spellEnd"/>
      <w:r w:rsidRPr="00C85D48">
        <w:rPr>
          <w:rFonts w:ascii="Arial" w:hAnsi="Arial" w:cs="Arial"/>
          <w:color w:val="000000"/>
          <w:sz w:val="18"/>
          <w:szCs w:val="18"/>
        </w:rPr>
        <w:t xml:space="preserve"> </w:t>
      </w:r>
      <w:proofErr w:type="spellStart"/>
      <w:r w:rsidRPr="00C85D48">
        <w:rPr>
          <w:rFonts w:ascii="Arial" w:hAnsi="Arial" w:cs="Arial"/>
          <w:color w:val="000000"/>
          <w:sz w:val="18"/>
          <w:szCs w:val="18"/>
        </w:rPr>
        <w:t>community</w:t>
      </w:r>
      <w:proofErr w:type="spellEnd"/>
      <w:r w:rsidRPr="00C85D48">
        <w:rPr>
          <w:rFonts w:ascii="Arial" w:hAnsi="Arial" w:cs="Arial"/>
          <w:color w:val="000000"/>
          <w:sz w:val="18"/>
          <w:szCs w:val="18"/>
        </w:rPr>
        <w:t xml:space="preserve"> </w:t>
      </w:r>
      <w:proofErr w:type="spellStart"/>
      <w:r w:rsidRPr="00C85D48">
        <w:rPr>
          <w:rFonts w:ascii="Arial" w:hAnsi="Arial" w:cs="Arial"/>
          <w:color w:val="000000"/>
          <w:sz w:val="18"/>
          <w:szCs w:val="18"/>
        </w:rPr>
        <w:t>builders</w:t>
      </w:r>
      <w:proofErr w:type="spellEnd"/>
      <w:r w:rsidRPr="00C85D48">
        <w:rPr>
          <w:rFonts w:ascii="Arial" w:hAnsi="Arial" w:cs="Arial"/>
          <w:color w:val="000000"/>
          <w:sz w:val="18"/>
          <w:szCs w:val="18"/>
        </w:rPr>
        <w:t xml:space="preserve">’ </w:t>
      </w:r>
      <w:proofErr w:type="spellStart"/>
      <w:r w:rsidRPr="00C85D48">
        <w:rPr>
          <w:rFonts w:ascii="Arial" w:hAnsi="Arial" w:cs="Arial"/>
          <w:color w:val="000000"/>
          <w:sz w:val="18"/>
          <w:szCs w:val="18"/>
        </w:rPr>
        <w:t>approach</w:t>
      </w:r>
      <w:proofErr w:type="spellEnd"/>
      <w:r w:rsidRPr="00C85D48">
        <w:rPr>
          <w:rFonts w:ascii="Arial" w:hAnsi="Arial" w:cs="Arial"/>
          <w:color w:val="000000"/>
          <w:sz w:val="18"/>
          <w:szCs w:val="18"/>
        </w:rPr>
        <w:t xml:space="preserve"> to </w:t>
      </w:r>
      <w:proofErr w:type="spellStart"/>
      <w:r w:rsidRPr="00C85D48">
        <w:rPr>
          <w:rFonts w:ascii="Arial" w:hAnsi="Arial" w:cs="Arial"/>
          <w:color w:val="000000"/>
          <w:sz w:val="18"/>
          <w:szCs w:val="18"/>
        </w:rPr>
        <w:t>theory</w:t>
      </w:r>
      <w:proofErr w:type="spellEnd"/>
      <w:r w:rsidRPr="00C85D48">
        <w:rPr>
          <w:rFonts w:ascii="Arial" w:hAnsi="Arial" w:cs="Arial"/>
          <w:color w:val="000000"/>
          <w:sz w:val="18"/>
          <w:szCs w:val="18"/>
        </w:rPr>
        <w:t xml:space="preserve"> </w:t>
      </w:r>
      <w:proofErr w:type="spellStart"/>
      <w:r w:rsidRPr="00C85D48">
        <w:rPr>
          <w:rFonts w:ascii="Arial" w:hAnsi="Arial" w:cs="Arial"/>
          <w:color w:val="000000"/>
          <w:sz w:val="18"/>
          <w:szCs w:val="18"/>
        </w:rPr>
        <w:t>of</w:t>
      </w:r>
      <w:proofErr w:type="spellEnd"/>
      <w:r w:rsidRPr="00C85D48">
        <w:rPr>
          <w:rFonts w:ascii="Arial" w:hAnsi="Arial" w:cs="Arial"/>
          <w:color w:val="000000"/>
          <w:sz w:val="18"/>
          <w:szCs w:val="18"/>
        </w:rPr>
        <w:t xml:space="preserve"> </w:t>
      </w:r>
      <w:proofErr w:type="spellStart"/>
      <w:r w:rsidRPr="00C85D48">
        <w:rPr>
          <w:rFonts w:ascii="Arial" w:hAnsi="Arial" w:cs="Arial"/>
          <w:color w:val="000000"/>
          <w:sz w:val="18"/>
          <w:szCs w:val="18"/>
        </w:rPr>
        <w:t>change</w:t>
      </w:r>
      <w:proofErr w:type="spellEnd"/>
    </w:p>
  </w:footnote>
  <w:footnote w:id="4">
    <w:p w14:paraId="52CD3C21" w14:textId="77777777" w:rsidR="00C85D48" w:rsidRPr="00C85D48" w:rsidRDefault="00C85D48" w:rsidP="00C85D48">
      <w:pPr>
        <w:autoSpaceDE w:val="0"/>
        <w:autoSpaceDN w:val="0"/>
        <w:adjustRightInd w:val="0"/>
        <w:spacing w:after="0"/>
        <w:rPr>
          <w:rFonts w:ascii="Arial" w:hAnsi="Arial" w:cs="Arial"/>
          <w:color w:val="000000"/>
          <w:sz w:val="18"/>
          <w:szCs w:val="18"/>
        </w:rPr>
      </w:pPr>
      <w:r w:rsidRPr="00C85D48">
        <w:rPr>
          <w:rFonts w:ascii="Arial" w:hAnsi="Arial" w:cs="Arial"/>
          <w:color w:val="000000"/>
          <w:sz w:val="16"/>
          <w:szCs w:val="16"/>
          <w:vertAlign w:val="superscript"/>
        </w:rPr>
        <w:footnoteRef/>
      </w:r>
      <w:r w:rsidRPr="00C85D48">
        <w:rPr>
          <w:rFonts w:ascii="Arial" w:hAnsi="Arial" w:cs="Arial"/>
          <w:color w:val="000000"/>
          <w:sz w:val="16"/>
          <w:szCs w:val="16"/>
        </w:rPr>
        <w:t xml:space="preserve"> </w:t>
      </w:r>
      <w:r w:rsidRPr="00C85D48">
        <w:rPr>
          <w:rFonts w:ascii="Arial" w:hAnsi="Arial" w:cs="Arial"/>
          <w:color w:val="000000"/>
          <w:sz w:val="18"/>
          <w:szCs w:val="18"/>
        </w:rPr>
        <w:t>Laķe A. (2011) Novērtējuma pētījuma izmantošana Latvijas politikas veidošanas vidē: mērķa racionalitātes un komunikatīvās racionalitātes izpausmes, prezentācija, Rīga: Latvijas Kultūras akadēmija, 2011</w:t>
      </w:r>
    </w:p>
  </w:footnote>
  <w:footnote w:id="5">
    <w:p w14:paraId="2688A4A4" w14:textId="77777777" w:rsidR="00C85D48" w:rsidRPr="00055889" w:rsidRDefault="00C85D48" w:rsidP="00C85D48">
      <w:pPr>
        <w:pStyle w:val="FootnoteText"/>
        <w:rPr>
          <w:rFonts w:ascii="Arial" w:hAnsi="Arial" w:cs="Arial"/>
          <w:b/>
          <w:bCs/>
          <w:sz w:val="18"/>
          <w:szCs w:val="18"/>
        </w:rPr>
      </w:pPr>
      <w:r w:rsidRPr="00C85D48">
        <w:rPr>
          <w:rStyle w:val="FootnoteReference"/>
          <w:rFonts w:ascii="Arial" w:eastAsia="Times New Roman" w:hAnsi="Arial" w:cs="Arial"/>
          <w:bCs/>
          <w:sz w:val="18"/>
          <w:szCs w:val="18"/>
        </w:rPr>
        <w:footnoteRef/>
      </w:r>
      <w:r w:rsidRPr="00055889">
        <w:rPr>
          <w:rFonts w:ascii="Arial" w:hAnsi="Arial" w:cs="Arial"/>
          <w:bCs/>
          <w:sz w:val="18"/>
          <w:szCs w:val="18"/>
        </w:rPr>
        <w:t xml:space="preserve"> </w:t>
      </w:r>
      <w:r w:rsidRPr="00055889">
        <w:rPr>
          <w:rFonts w:ascii="Arial" w:hAnsi="Arial" w:cs="Arial"/>
          <w:bCs/>
          <w:sz w:val="18"/>
          <w:szCs w:val="18"/>
        </w:rPr>
        <w:t xml:space="preserve">Motivācijas paaugstināšanas un atbalsta pakalpojumu potenciālās mērķa grupas profilēšana un vajadzību izpēte, pētījuma gala ziņojums, nodibinājums “Baltic </w:t>
      </w:r>
      <w:proofErr w:type="spellStart"/>
      <w:r w:rsidRPr="00055889">
        <w:rPr>
          <w:rFonts w:ascii="Arial" w:hAnsi="Arial" w:cs="Arial"/>
          <w:bCs/>
          <w:sz w:val="18"/>
          <w:szCs w:val="18"/>
        </w:rPr>
        <w:t>Institute</w:t>
      </w:r>
      <w:proofErr w:type="spellEnd"/>
      <w:r w:rsidRPr="00055889">
        <w:rPr>
          <w:rFonts w:ascii="Arial" w:hAnsi="Arial" w:cs="Arial"/>
          <w:bCs/>
          <w:sz w:val="18"/>
          <w:szCs w:val="18"/>
        </w:rPr>
        <w:t xml:space="preserve"> </w:t>
      </w:r>
      <w:proofErr w:type="spellStart"/>
      <w:r w:rsidRPr="00055889">
        <w:rPr>
          <w:rFonts w:ascii="Arial" w:hAnsi="Arial" w:cs="Arial"/>
          <w:bCs/>
          <w:sz w:val="18"/>
          <w:szCs w:val="18"/>
        </w:rPr>
        <w:t>of</w:t>
      </w:r>
      <w:proofErr w:type="spellEnd"/>
      <w:r w:rsidRPr="00055889">
        <w:rPr>
          <w:rFonts w:ascii="Arial" w:hAnsi="Arial" w:cs="Arial"/>
          <w:bCs/>
          <w:sz w:val="18"/>
          <w:szCs w:val="18"/>
        </w:rPr>
        <w:t xml:space="preserve"> </w:t>
      </w:r>
      <w:proofErr w:type="spellStart"/>
      <w:r w:rsidRPr="00055889">
        <w:rPr>
          <w:rFonts w:ascii="Arial" w:hAnsi="Arial" w:cs="Arial"/>
          <w:bCs/>
          <w:sz w:val="18"/>
          <w:szCs w:val="18"/>
        </w:rPr>
        <w:t>Social</w:t>
      </w:r>
      <w:proofErr w:type="spellEnd"/>
      <w:r w:rsidRPr="00055889">
        <w:rPr>
          <w:rFonts w:ascii="Arial" w:hAnsi="Arial" w:cs="Arial"/>
          <w:bCs/>
          <w:sz w:val="18"/>
          <w:szCs w:val="18"/>
        </w:rPr>
        <w:t xml:space="preserve"> </w:t>
      </w:r>
      <w:proofErr w:type="spellStart"/>
      <w:r w:rsidRPr="00055889">
        <w:rPr>
          <w:rFonts w:ascii="Arial" w:hAnsi="Arial" w:cs="Arial"/>
          <w:bCs/>
          <w:sz w:val="18"/>
          <w:szCs w:val="18"/>
        </w:rPr>
        <w:t>Sciences</w:t>
      </w:r>
      <w:proofErr w:type="spellEnd"/>
      <w:r w:rsidRPr="00055889">
        <w:rPr>
          <w:rFonts w:ascii="Arial" w:hAnsi="Arial" w:cs="Arial"/>
          <w:bCs/>
          <w:sz w:val="18"/>
          <w:szCs w:val="18"/>
        </w:rPr>
        <w:t xml:space="preserve">”, 2017. Pieejams: </w:t>
      </w:r>
      <w:hyperlink r:id="rId1" w:history="1">
        <w:r w:rsidRPr="00C85D48">
          <w:rPr>
            <w:rStyle w:val="Hyperlink1"/>
            <w:rFonts w:ascii="Arial" w:eastAsia="Times New Roman" w:hAnsi="Arial" w:cs="Arial"/>
            <w:sz w:val="18"/>
            <w:szCs w:val="18"/>
          </w:rPr>
          <w:t>http://www.sif.gov.lv/images/files/nodevumi/ESF_Da%C5%BE%C4%81d%C4%ABbas/Motivacijas_paaugstinasana/Gala_zinojums.pdf</w:t>
        </w:r>
      </w:hyperlink>
    </w:p>
  </w:footnote>
  <w:footnote w:id="6">
    <w:p w14:paraId="6320FB92" w14:textId="77777777" w:rsidR="00C85D48" w:rsidRPr="00400EFF" w:rsidRDefault="00C85D48" w:rsidP="00C85D48">
      <w:pPr>
        <w:jc w:val="both"/>
        <w:rPr>
          <w:rFonts w:ascii="Arial" w:hAnsi="Arial" w:cs="Arial"/>
          <w:b/>
          <w:bCs/>
          <w:sz w:val="18"/>
          <w:szCs w:val="18"/>
        </w:rPr>
      </w:pPr>
      <w:r w:rsidRPr="00400EFF">
        <w:rPr>
          <w:rStyle w:val="FootnoteReference"/>
          <w:rFonts w:ascii="Arial" w:hAnsi="Arial" w:cs="Arial"/>
          <w:bCs/>
          <w:sz w:val="18"/>
          <w:szCs w:val="18"/>
        </w:rPr>
        <w:footnoteRef/>
      </w:r>
      <w:r w:rsidRPr="00400EFF">
        <w:rPr>
          <w:rFonts w:ascii="Arial" w:hAnsi="Arial" w:cs="Arial"/>
          <w:bCs/>
          <w:sz w:val="18"/>
          <w:szCs w:val="18"/>
        </w:rPr>
        <w:t xml:space="preserve"> </w:t>
      </w:r>
      <w:r w:rsidRPr="00400EFF">
        <w:rPr>
          <w:rFonts w:ascii="Arial" w:hAnsi="Arial" w:cs="Arial"/>
          <w:bCs/>
          <w:sz w:val="18"/>
          <w:szCs w:val="18"/>
        </w:rPr>
        <w:t xml:space="preserve">Pieejams: </w:t>
      </w:r>
      <w:hyperlink r:id="rId2" w:history="1">
        <w:r w:rsidRPr="00400EFF">
          <w:rPr>
            <w:rStyle w:val="Hyperlink1"/>
            <w:rFonts w:ascii="Arial" w:hAnsi="Arial" w:cs="Arial"/>
            <w:sz w:val="18"/>
            <w:szCs w:val="18"/>
          </w:rPr>
          <w:t>https://eur-lex.europa.eu/legal-content/LV/TXT/PDF/?uri=CELEX:32013R1304&amp;from=LV</w:t>
        </w:r>
      </w:hyperlink>
      <w:r w:rsidRPr="00400EFF">
        <w:rPr>
          <w:rFonts w:ascii="Arial" w:hAnsi="Arial" w:cs="Arial"/>
          <w:bCs/>
          <w:sz w:val="18"/>
          <w:szCs w:val="18"/>
        </w:rPr>
        <w:t xml:space="preserve"> </w:t>
      </w:r>
    </w:p>
  </w:footnote>
  <w:footnote w:id="7">
    <w:p w14:paraId="036001A2" w14:textId="77777777" w:rsidR="00C85D48" w:rsidRPr="00400EFF" w:rsidRDefault="00C85D48" w:rsidP="00C85D48">
      <w:pPr>
        <w:pStyle w:val="note"/>
        <w:spacing w:before="0" w:beforeAutospacing="0" w:after="0" w:afterAutospacing="0"/>
        <w:jc w:val="both"/>
        <w:rPr>
          <w:rFonts w:ascii="Arial" w:hAnsi="Arial" w:cs="Arial"/>
          <w:bCs/>
          <w:sz w:val="18"/>
          <w:szCs w:val="18"/>
          <w:lang w:eastAsia="en-US"/>
        </w:rPr>
      </w:pPr>
      <w:r w:rsidRPr="00C85D48">
        <w:rPr>
          <w:rStyle w:val="FootnoteReference"/>
          <w:rFonts w:ascii="Arial" w:hAnsi="Arial" w:cs="Arial"/>
          <w:bCs/>
          <w:sz w:val="18"/>
          <w:szCs w:val="18"/>
        </w:rPr>
        <w:footnoteRef/>
      </w:r>
      <w:r w:rsidRPr="00400EFF">
        <w:rPr>
          <w:rFonts w:ascii="Arial" w:hAnsi="Arial" w:cs="Arial"/>
          <w:bCs/>
          <w:sz w:val="18"/>
          <w:szCs w:val="18"/>
        </w:rPr>
        <w:t xml:space="preserve"> </w:t>
      </w:r>
      <w:r w:rsidRPr="00400EFF">
        <w:rPr>
          <w:rFonts w:ascii="Arial" w:hAnsi="Arial" w:cs="Arial"/>
          <w:bCs/>
          <w:sz w:val="18"/>
          <w:szCs w:val="18"/>
          <w:lang w:eastAsia="en-US"/>
        </w:rPr>
        <w:t>Dati, kas apzīmēti ar *, ir personas dati atbilstīgi Direktīvas 95/46/EK 7. pantam. Šādu datu apstrāde vajadzīga, lai izpildītu uz personas datu apstrādātāju attiecināmas juridiskas saistības (Direktīvas 95/46/EK 7. panta c) punkts). Personas datu apstrādātāja definīcija ir dota Direktīvas 95/46/EK 2. pantā.</w:t>
      </w:r>
    </w:p>
  </w:footnote>
  <w:footnote w:id="8">
    <w:p w14:paraId="152B656B" w14:textId="77777777" w:rsidR="00C85D48" w:rsidRPr="00400EFF" w:rsidRDefault="00C85D48" w:rsidP="00C85D48">
      <w:pPr>
        <w:pStyle w:val="note"/>
        <w:spacing w:before="0" w:beforeAutospacing="0" w:after="0" w:afterAutospacing="0"/>
        <w:jc w:val="both"/>
        <w:rPr>
          <w:rFonts w:ascii="Arial" w:hAnsi="Arial" w:cs="Arial"/>
          <w:bCs/>
          <w:sz w:val="18"/>
          <w:szCs w:val="18"/>
          <w:lang w:eastAsia="en-US"/>
        </w:rPr>
      </w:pPr>
      <w:r w:rsidRPr="00C85D48">
        <w:rPr>
          <w:rStyle w:val="FootnoteReference"/>
          <w:rFonts w:ascii="Arial" w:hAnsi="Arial" w:cs="Arial"/>
          <w:bCs/>
          <w:sz w:val="18"/>
          <w:szCs w:val="18"/>
        </w:rPr>
        <w:footnoteRef/>
      </w:r>
      <w:r w:rsidRPr="00400EFF">
        <w:rPr>
          <w:rFonts w:ascii="Arial" w:hAnsi="Arial" w:cs="Arial"/>
          <w:bCs/>
          <w:sz w:val="18"/>
          <w:szCs w:val="18"/>
        </w:rPr>
        <w:t xml:space="preserve"> </w:t>
      </w:r>
      <w:r w:rsidRPr="00400EFF">
        <w:rPr>
          <w:rFonts w:ascii="Arial" w:hAnsi="Arial" w:cs="Arial"/>
          <w:bCs/>
          <w:sz w:val="18"/>
          <w:szCs w:val="18"/>
          <w:lang w:eastAsia="en-US"/>
        </w:rPr>
        <w:t xml:space="preserve">Dati, kas apzīmēti ar **, ir īpašu kategoriju dati atbilstoši Direktīvas 95/46/EK 8. pantam. Ievērojot noteikumu par atbilstošām garantijām, dalībvalstis, pamatojoties uz būtiskām sabiedrības interesēm, var noteikt izņēmumus papildus Direktīvas 95/46/EK 8. panta 2. punktā minētajiem vai nu ar attiecīgās valsts tiesībām, vai ar uzraudzības iestādes lēmumu (Direktīvas 95/46/EK 8. panta 4. punkts). </w:t>
      </w:r>
    </w:p>
  </w:footnote>
  <w:footnote w:id="9">
    <w:p w14:paraId="3CDE6AE0" w14:textId="77777777" w:rsidR="00C85D48" w:rsidRPr="00D74414" w:rsidRDefault="00C85D48" w:rsidP="00C85D48">
      <w:pPr>
        <w:pStyle w:val="FootnoteText"/>
        <w:rPr>
          <w:rFonts w:ascii="Arial" w:hAnsi="Arial" w:cs="Arial"/>
          <w:b/>
          <w:sz w:val="18"/>
          <w:szCs w:val="18"/>
        </w:rPr>
      </w:pPr>
      <w:r w:rsidRPr="00C85D48">
        <w:rPr>
          <w:rStyle w:val="FootnoteReference"/>
          <w:rFonts w:ascii="Arial" w:eastAsia="Times New Roman" w:hAnsi="Arial" w:cs="Arial"/>
          <w:sz w:val="18"/>
          <w:szCs w:val="18"/>
        </w:rPr>
        <w:footnoteRef/>
      </w:r>
      <w:r w:rsidRPr="00472FE2">
        <w:rPr>
          <w:rFonts w:ascii="Arial" w:hAnsi="Arial" w:cs="Arial"/>
          <w:sz w:val="18"/>
          <w:szCs w:val="18"/>
        </w:rPr>
        <w:t xml:space="preserve"> </w:t>
      </w:r>
      <w:r w:rsidRPr="00472FE2">
        <w:rPr>
          <w:rFonts w:ascii="Arial" w:hAnsi="Arial" w:cs="Arial"/>
          <w:sz w:val="18"/>
          <w:szCs w:val="18"/>
        </w:rPr>
        <w:t xml:space="preserve">Motivācijas paaugstināšanas un atbalsta pakalpojumu potenciālās mērķa grupas profilēšana un vajadzību izpēte, pētījuma gala ziņojums, nodibinājums “Baltic </w:t>
      </w:r>
      <w:proofErr w:type="spellStart"/>
      <w:r w:rsidRPr="00472FE2">
        <w:rPr>
          <w:rFonts w:ascii="Arial" w:hAnsi="Arial" w:cs="Arial"/>
          <w:sz w:val="18"/>
          <w:szCs w:val="18"/>
        </w:rPr>
        <w:t>Institute</w:t>
      </w:r>
      <w:proofErr w:type="spellEnd"/>
      <w:r w:rsidRPr="00472FE2">
        <w:rPr>
          <w:rFonts w:ascii="Arial" w:hAnsi="Arial" w:cs="Arial"/>
          <w:sz w:val="18"/>
          <w:szCs w:val="18"/>
        </w:rPr>
        <w:t xml:space="preserve"> </w:t>
      </w:r>
      <w:proofErr w:type="spellStart"/>
      <w:r w:rsidRPr="00472FE2">
        <w:rPr>
          <w:rFonts w:ascii="Arial" w:hAnsi="Arial" w:cs="Arial"/>
          <w:sz w:val="18"/>
          <w:szCs w:val="18"/>
        </w:rPr>
        <w:t>of</w:t>
      </w:r>
      <w:proofErr w:type="spellEnd"/>
      <w:r w:rsidRPr="00472FE2">
        <w:rPr>
          <w:rFonts w:ascii="Arial" w:hAnsi="Arial" w:cs="Arial"/>
          <w:sz w:val="18"/>
          <w:szCs w:val="18"/>
        </w:rPr>
        <w:t xml:space="preserve"> </w:t>
      </w:r>
      <w:proofErr w:type="spellStart"/>
      <w:r w:rsidRPr="00472FE2">
        <w:rPr>
          <w:rFonts w:ascii="Arial" w:hAnsi="Arial" w:cs="Arial"/>
          <w:sz w:val="18"/>
          <w:szCs w:val="18"/>
        </w:rPr>
        <w:t>Social</w:t>
      </w:r>
      <w:proofErr w:type="spellEnd"/>
      <w:r w:rsidRPr="00472FE2">
        <w:rPr>
          <w:rFonts w:ascii="Arial" w:hAnsi="Arial" w:cs="Arial"/>
          <w:sz w:val="18"/>
          <w:szCs w:val="18"/>
        </w:rPr>
        <w:t xml:space="preserve"> </w:t>
      </w:r>
      <w:proofErr w:type="spellStart"/>
      <w:r w:rsidRPr="00472FE2">
        <w:rPr>
          <w:rFonts w:ascii="Arial" w:hAnsi="Arial" w:cs="Arial"/>
          <w:sz w:val="18"/>
          <w:szCs w:val="18"/>
        </w:rPr>
        <w:t>Sciences</w:t>
      </w:r>
      <w:proofErr w:type="spellEnd"/>
      <w:r w:rsidRPr="00472FE2">
        <w:rPr>
          <w:rFonts w:ascii="Arial" w:hAnsi="Arial" w:cs="Arial"/>
          <w:sz w:val="18"/>
          <w:szCs w:val="18"/>
        </w:rPr>
        <w:t xml:space="preserve">”, 2017. </w:t>
      </w:r>
      <w:r w:rsidRPr="00D74414">
        <w:rPr>
          <w:rFonts w:ascii="Arial" w:hAnsi="Arial" w:cs="Arial"/>
          <w:sz w:val="18"/>
          <w:szCs w:val="18"/>
        </w:rPr>
        <w:t xml:space="preserve">Pieejams: </w:t>
      </w:r>
      <w:hyperlink r:id="rId3" w:history="1">
        <w:r w:rsidRPr="00C85D48">
          <w:rPr>
            <w:rStyle w:val="Hyperlink1"/>
            <w:rFonts w:ascii="Arial" w:eastAsia="Times New Roman" w:hAnsi="Arial" w:cs="Arial"/>
            <w:sz w:val="18"/>
            <w:szCs w:val="18"/>
          </w:rPr>
          <w:t xml:space="preserve">http://www.sif.gov.lv/images/files/nodevumi/ESF_Da%C5%BE%C4%81d%C4%ABbas/Motivacijas_paaugstina </w:t>
        </w:r>
        <w:proofErr w:type="spellStart"/>
        <w:r w:rsidRPr="00C85D48">
          <w:rPr>
            <w:rStyle w:val="Hyperlink1"/>
            <w:rFonts w:ascii="Arial" w:eastAsia="Times New Roman" w:hAnsi="Arial" w:cs="Arial"/>
            <w:sz w:val="18"/>
            <w:szCs w:val="18"/>
          </w:rPr>
          <w:t>sana</w:t>
        </w:r>
        <w:proofErr w:type="spellEnd"/>
        <w:r w:rsidRPr="00C85D48">
          <w:rPr>
            <w:rStyle w:val="Hyperlink1"/>
            <w:rFonts w:ascii="Arial" w:eastAsia="Times New Roman" w:hAnsi="Arial" w:cs="Arial"/>
            <w:sz w:val="18"/>
            <w:szCs w:val="18"/>
          </w:rPr>
          <w:t>/Gala_zinojums.pdf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94090"/>
    <w:multiLevelType w:val="hybridMultilevel"/>
    <w:tmpl w:val="3A0AFB4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84AF5"/>
    <w:multiLevelType w:val="hybridMultilevel"/>
    <w:tmpl w:val="BC5CC1E0"/>
    <w:lvl w:ilvl="0" w:tplc="F0DA82D0">
      <w:start w:val="1"/>
      <w:numFmt w:val="bullet"/>
      <w:lvlText w:val="¨"/>
      <w:lvlJc w:val="left"/>
      <w:pPr>
        <w:ind w:left="2073" w:hanging="360"/>
      </w:pPr>
      <w:rPr>
        <w:rFonts w:ascii="Symbol" w:hAnsi="Symbol" w:hint="default"/>
      </w:rPr>
    </w:lvl>
    <w:lvl w:ilvl="1" w:tplc="04090003" w:tentative="1">
      <w:start w:val="1"/>
      <w:numFmt w:val="bullet"/>
      <w:lvlText w:val="o"/>
      <w:lvlJc w:val="left"/>
      <w:pPr>
        <w:ind w:left="2793" w:hanging="360"/>
      </w:pPr>
      <w:rPr>
        <w:rFonts w:ascii="Courier New" w:hAnsi="Courier New" w:cs="Courier New" w:hint="default"/>
      </w:rPr>
    </w:lvl>
    <w:lvl w:ilvl="2" w:tplc="04090005" w:tentative="1">
      <w:start w:val="1"/>
      <w:numFmt w:val="bullet"/>
      <w:lvlText w:val=""/>
      <w:lvlJc w:val="left"/>
      <w:pPr>
        <w:ind w:left="3513" w:hanging="360"/>
      </w:pPr>
      <w:rPr>
        <w:rFonts w:ascii="Wingdings" w:hAnsi="Wingdings" w:hint="default"/>
      </w:rPr>
    </w:lvl>
    <w:lvl w:ilvl="3" w:tplc="04090001" w:tentative="1">
      <w:start w:val="1"/>
      <w:numFmt w:val="bullet"/>
      <w:lvlText w:val=""/>
      <w:lvlJc w:val="left"/>
      <w:pPr>
        <w:ind w:left="4233" w:hanging="360"/>
      </w:pPr>
      <w:rPr>
        <w:rFonts w:ascii="Symbol" w:hAnsi="Symbol" w:hint="default"/>
      </w:rPr>
    </w:lvl>
    <w:lvl w:ilvl="4" w:tplc="04090003" w:tentative="1">
      <w:start w:val="1"/>
      <w:numFmt w:val="bullet"/>
      <w:lvlText w:val="o"/>
      <w:lvlJc w:val="left"/>
      <w:pPr>
        <w:ind w:left="4953" w:hanging="360"/>
      </w:pPr>
      <w:rPr>
        <w:rFonts w:ascii="Courier New" w:hAnsi="Courier New" w:cs="Courier New" w:hint="default"/>
      </w:rPr>
    </w:lvl>
    <w:lvl w:ilvl="5" w:tplc="04090005" w:tentative="1">
      <w:start w:val="1"/>
      <w:numFmt w:val="bullet"/>
      <w:lvlText w:val=""/>
      <w:lvlJc w:val="left"/>
      <w:pPr>
        <w:ind w:left="5673" w:hanging="360"/>
      </w:pPr>
      <w:rPr>
        <w:rFonts w:ascii="Wingdings" w:hAnsi="Wingdings" w:hint="default"/>
      </w:rPr>
    </w:lvl>
    <w:lvl w:ilvl="6" w:tplc="04090001" w:tentative="1">
      <w:start w:val="1"/>
      <w:numFmt w:val="bullet"/>
      <w:lvlText w:val=""/>
      <w:lvlJc w:val="left"/>
      <w:pPr>
        <w:ind w:left="6393" w:hanging="360"/>
      </w:pPr>
      <w:rPr>
        <w:rFonts w:ascii="Symbol" w:hAnsi="Symbol" w:hint="default"/>
      </w:rPr>
    </w:lvl>
    <w:lvl w:ilvl="7" w:tplc="04090003" w:tentative="1">
      <w:start w:val="1"/>
      <w:numFmt w:val="bullet"/>
      <w:lvlText w:val="o"/>
      <w:lvlJc w:val="left"/>
      <w:pPr>
        <w:ind w:left="7113" w:hanging="360"/>
      </w:pPr>
      <w:rPr>
        <w:rFonts w:ascii="Courier New" w:hAnsi="Courier New" w:cs="Courier New" w:hint="default"/>
      </w:rPr>
    </w:lvl>
    <w:lvl w:ilvl="8" w:tplc="04090005" w:tentative="1">
      <w:start w:val="1"/>
      <w:numFmt w:val="bullet"/>
      <w:lvlText w:val=""/>
      <w:lvlJc w:val="left"/>
      <w:pPr>
        <w:ind w:left="7833" w:hanging="360"/>
      </w:pPr>
      <w:rPr>
        <w:rFonts w:ascii="Wingdings" w:hAnsi="Wingdings" w:hint="default"/>
      </w:rPr>
    </w:lvl>
  </w:abstractNum>
  <w:abstractNum w:abstractNumId="2" w15:restartNumberingAfterBreak="0">
    <w:nsid w:val="3BAD2881"/>
    <w:multiLevelType w:val="hybridMultilevel"/>
    <w:tmpl w:val="F0465FAA"/>
    <w:lvl w:ilvl="0" w:tplc="F0DA82D0">
      <w:start w:val="1"/>
      <w:numFmt w:val="bullet"/>
      <w:lvlText w:val="¨"/>
      <w:lvlJc w:val="left"/>
      <w:pPr>
        <w:ind w:left="832" w:hanging="360"/>
      </w:pPr>
      <w:rPr>
        <w:rFonts w:ascii="Symbol" w:hAnsi="Symbol" w:hint="default"/>
      </w:rPr>
    </w:lvl>
    <w:lvl w:ilvl="1" w:tplc="04260003" w:tentative="1">
      <w:start w:val="1"/>
      <w:numFmt w:val="bullet"/>
      <w:lvlText w:val="o"/>
      <w:lvlJc w:val="left"/>
      <w:pPr>
        <w:ind w:left="1552" w:hanging="360"/>
      </w:pPr>
      <w:rPr>
        <w:rFonts w:ascii="Courier New" w:hAnsi="Courier New" w:cs="Courier New" w:hint="default"/>
      </w:rPr>
    </w:lvl>
    <w:lvl w:ilvl="2" w:tplc="04260005" w:tentative="1">
      <w:start w:val="1"/>
      <w:numFmt w:val="bullet"/>
      <w:lvlText w:val=""/>
      <w:lvlJc w:val="left"/>
      <w:pPr>
        <w:ind w:left="2272" w:hanging="360"/>
      </w:pPr>
      <w:rPr>
        <w:rFonts w:ascii="Wingdings" w:hAnsi="Wingdings" w:hint="default"/>
      </w:rPr>
    </w:lvl>
    <w:lvl w:ilvl="3" w:tplc="04260001" w:tentative="1">
      <w:start w:val="1"/>
      <w:numFmt w:val="bullet"/>
      <w:lvlText w:val=""/>
      <w:lvlJc w:val="left"/>
      <w:pPr>
        <w:ind w:left="2992" w:hanging="360"/>
      </w:pPr>
      <w:rPr>
        <w:rFonts w:ascii="Symbol" w:hAnsi="Symbol" w:hint="default"/>
      </w:rPr>
    </w:lvl>
    <w:lvl w:ilvl="4" w:tplc="04260003" w:tentative="1">
      <w:start w:val="1"/>
      <w:numFmt w:val="bullet"/>
      <w:lvlText w:val="o"/>
      <w:lvlJc w:val="left"/>
      <w:pPr>
        <w:ind w:left="3712" w:hanging="360"/>
      </w:pPr>
      <w:rPr>
        <w:rFonts w:ascii="Courier New" w:hAnsi="Courier New" w:cs="Courier New" w:hint="default"/>
      </w:rPr>
    </w:lvl>
    <w:lvl w:ilvl="5" w:tplc="04260005" w:tentative="1">
      <w:start w:val="1"/>
      <w:numFmt w:val="bullet"/>
      <w:lvlText w:val=""/>
      <w:lvlJc w:val="left"/>
      <w:pPr>
        <w:ind w:left="4432" w:hanging="360"/>
      </w:pPr>
      <w:rPr>
        <w:rFonts w:ascii="Wingdings" w:hAnsi="Wingdings" w:hint="default"/>
      </w:rPr>
    </w:lvl>
    <w:lvl w:ilvl="6" w:tplc="04260001" w:tentative="1">
      <w:start w:val="1"/>
      <w:numFmt w:val="bullet"/>
      <w:lvlText w:val=""/>
      <w:lvlJc w:val="left"/>
      <w:pPr>
        <w:ind w:left="5152" w:hanging="360"/>
      </w:pPr>
      <w:rPr>
        <w:rFonts w:ascii="Symbol" w:hAnsi="Symbol" w:hint="default"/>
      </w:rPr>
    </w:lvl>
    <w:lvl w:ilvl="7" w:tplc="04260003" w:tentative="1">
      <w:start w:val="1"/>
      <w:numFmt w:val="bullet"/>
      <w:lvlText w:val="o"/>
      <w:lvlJc w:val="left"/>
      <w:pPr>
        <w:ind w:left="5872" w:hanging="360"/>
      </w:pPr>
      <w:rPr>
        <w:rFonts w:ascii="Courier New" w:hAnsi="Courier New" w:cs="Courier New" w:hint="default"/>
      </w:rPr>
    </w:lvl>
    <w:lvl w:ilvl="8" w:tplc="04260005" w:tentative="1">
      <w:start w:val="1"/>
      <w:numFmt w:val="bullet"/>
      <w:lvlText w:val=""/>
      <w:lvlJc w:val="left"/>
      <w:pPr>
        <w:ind w:left="6592"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D48"/>
    <w:rsid w:val="000B7801"/>
    <w:rsid w:val="004D64C5"/>
    <w:rsid w:val="008F0F12"/>
    <w:rsid w:val="00C85D48"/>
    <w:rsid w:val="00F74E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F1C97"/>
  <w15:chartTrackingRefBased/>
  <w15:docId w15:val="{6FC3BAAA-6B7E-4FEE-BDE3-BECD0D0C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D4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85D48"/>
    <w:pPr>
      <w:spacing w:after="0" w:line="240" w:lineRule="auto"/>
    </w:pPr>
    <w:rPr>
      <w:rFonts w:eastAsiaTheme="minorEastAsia"/>
    </w:rPr>
  </w:style>
  <w:style w:type="character" w:customStyle="1" w:styleId="NoSpacingChar">
    <w:name w:val="No Spacing Char"/>
    <w:basedOn w:val="DefaultParagraphFont"/>
    <w:link w:val="NoSpacing"/>
    <w:uiPriority w:val="1"/>
    <w:rsid w:val="00C85D48"/>
    <w:rPr>
      <w:rFonts w:eastAsiaTheme="minorEastAsia"/>
    </w:rPr>
  </w:style>
  <w:style w:type="paragraph" w:styleId="FootnoteText">
    <w:name w:val="footnote text"/>
    <w:basedOn w:val="Normal"/>
    <w:link w:val="FootnoteTextChar"/>
    <w:uiPriority w:val="99"/>
    <w:semiHidden/>
    <w:unhideWhenUsed/>
    <w:rsid w:val="00C85D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5D48"/>
    <w:rPr>
      <w:rFonts w:eastAsiaTheme="minorEastAsia"/>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E"/>
    <w:basedOn w:val="DefaultParagraphFont"/>
    <w:link w:val="Char2"/>
    <w:uiPriority w:val="99"/>
    <w:qFormat/>
    <w:rsid w:val="00C85D48"/>
    <w:rPr>
      <w:rFonts w:cs="Times New Roman"/>
      <w:vertAlign w:val="superscript"/>
    </w:rPr>
  </w:style>
  <w:style w:type="paragraph" w:customStyle="1" w:styleId="Char2">
    <w:name w:val="Char2"/>
    <w:aliases w:val="Char Char Char Char"/>
    <w:basedOn w:val="Normal"/>
    <w:next w:val="Normal"/>
    <w:link w:val="FootnoteReference"/>
    <w:uiPriority w:val="99"/>
    <w:rsid w:val="00C85D48"/>
    <w:pPr>
      <w:spacing w:after="0" w:line="240" w:lineRule="exact"/>
      <w:ind w:firstLine="567"/>
      <w:jc w:val="both"/>
      <w:textAlignment w:val="baseline"/>
    </w:pPr>
    <w:rPr>
      <w:rFonts w:eastAsiaTheme="minorHAnsi" w:cs="Times New Roman"/>
      <w:vertAlign w:val="superscript"/>
    </w:rPr>
  </w:style>
  <w:style w:type="character" w:customStyle="1" w:styleId="Hyperlink1">
    <w:name w:val="Hyperlink1"/>
    <w:basedOn w:val="DefaultParagraphFont"/>
    <w:uiPriority w:val="99"/>
    <w:unhideWhenUsed/>
    <w:rsid w:val="00C85D48"/>
    <w:rPr>
      <w:color w:val="0563C1"/>
      <w:u w:val="single"/>
    </w:rPr>
  </w:style>
  <w:style w:type="paragraph" w:customStyle="1" w:styleId="note">
    <w:name w:val="note"/>
    <w:basedOn w:val="Normal"/>
    <w:rsid w:val="00C85D4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C85D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sif.gov.lv/images/files/nodevumi/ESF_Da%C5%BE%C4%81d%C4%ABbas/Motivacijas_paaugstina%20sana/Gala_zinojums.pdf" TargetMode="External"/><Relationship Id="rId2" Type="http://schemas.openxmlformats.org/officeDocument/2006/relationships/hyperlink" Target="https://eur-lex.europa.eu/legal-content/LV/TXT/PDF/?uri=CELEX:32013R1304&amp;from=LV" TargetMode="External"/><Relationship Id="rId1" Type="http://schemas.openxmlformats.org/officeDocument/2006/relationships/hyperlink" Target="http://www.sif.gov.lv/images/files/nodevumi/ESF_Da%C5%BE%C4%81d%C4%ABbas/Motivacijas_paaugstinasana/Gala_zinoju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7089</Words>
  <Characters>4042</Characters>
  <Application>Microsoft Office Word</Application>
  <DocSecurity>0</DocSecurity>
  <Lines>33</Lines>
  <Paragraphs>22</Paragraphs>
  <ScaleCrop>false</ScaleCrop>
  <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Vidusposma izvērtējums par sociālās atstumtības un diskriminācijas riskam pakļauto personu situācijas izmaiņām</dc:title>
  <dc:subject>Nr. SIF 2019/5</dc:subject>
  <dc:creator>Aija Ruse</dc:creator>
  <cp:keywords/>
  <dc:description/>
  <cp:lastModifiedBy>Aija Ruse</cp:lastModifiedBy>
  <cp:revision>4</cp:revision>
  <dcterms:created xsi:type="dcterms:W3CDTF">2020-03-10T11:09:00Z</dcterms:created>
  <dcterms:modified xsi:type="dcterms:W3CDTF">2020-03-10T11:14:00Z</dcterms:modified>
</cp:coreProperties>
</file>