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C2" w:rsidRPr="000C21C2" w:rsidRDefault="000C21C2" w:rsidP="000C21C2">
      <w:pPr>
        <w:jc w:val="right"/>
        <w:rPr>
          <w:rFonts w:ascii="Times New Roman" w:hAnsi="Times New Roman" w:cs="Times New Roman"/>
          <w:sz w:val="24"/>
          <w:szCs w:val="24"/>
        </w:rPr>
      </w:pPr>
      <w:r w:rsidRPr="000C21C2">
        <w:rPr>
          <w:rFonts w:ascii="Times New Roman" w:hAnsi="Times New Roman" w:cs="Times New Roman"/>
          <w:sz w:val="24"/>
          <w:szCs w:val="24"/>
        </w:rPr>
        <w:t>3.pielikums</w:t>
      </w:r>
    </w:p>
    <w:p w:rsidR="000C21C2" w:rsidRDefault="000C21C2" w:rsidP="00B307D7">
      <w:pPr>
        <w:rPr>
          <w:rFonts w:ascii="Times New Roman" w:hAnsi="Times New Roman" w:cs="Times New Roman"/>
          <w:b/>
          <w:sz w:val="24"/>
          <w:szCs w:val="24"/>
        </w:rPr>
      </w:pPr>
    </w:p>
    <w:p w:rsidR="00E94D41" w:rsidRDefault="00B115B8" w:rsidP="00B307D7">
      <w:pPr>
        <w:rPr>
          <w:rFonts w:ascii="Times New Roman" w:hAnsi="Times New Roman" w:cs="Times New Roman"/>
          <w:b/>
          <w:sz w:val="24"/>
          <w:szCs w:val="24"/>
        </w:rPr>
      </w:pPr>
      <w:r w:rsidRPr="00E94D41">
        <w:rPr>
          <w:rFonts w:ascii="Times New Roman" w:hAnsi="Times New Roman" w:cs="Times New Roman"/>
          <w:b/>
          <w:sz w:val="24"/>
          <w:szCs w:val="24"/>
        </w:rPr>
        <w:t xml:space="preserve">Projektos biežāk </w:t>
      </w:r>
      <w:r w:rsidR="000950DC">
        <w:rPr>
          <w:rFonts w:ascii="Times New Roman" w:hAnsi="Times New Roman" w:cs="Times New Roman"/>
          <w:b/>
          <w:sz w:val="24"/>
          <w:szCs w:val="24"/>
        </w:rPr>
        <w:t>iesaistītā</w:t>
      </w:r>
      <w:r w:rsidRPr="00E94D41">
        <w:rPr>
          <w:rFonts w:ascii="Times New Roman" w:hAnsi="Times New Roman" w:cs="Times New Roman"/>
          <w:b/>
          <w:sz w:val="24"/>
          <w:szCs w:val="24"/>
        </w:rPr>
        <w:t xml:space="preserve"> personāla atalgojuma likmes </w:t>
      </w:r>
      <w:r w:rsidR="00772A53">
        <w:rPr>
          <w:rFonts w:ascii="Times New Roman" w:hAnsi="Times New Roman" w:cs="Times New Roman"/>
          <w:b/>
          <w:sz w:val="24"/>
          <w:szCs w:val="24"/>
        </w:rPr>
        <w:t xml:space="preserve">piemērojot </w:t>
      </w:r>
      <w:r w:rsidRPr="00E94D41">
        <w:rPr>
          <w:rFonts w:ascii="Times New Roman" w:hAnsi="Times New Roman" w:cs="Times New Roman"/>
          <w:b/>
          <w:sz w:val="24"/>
          <w:szCs w:val="24"/>
        </w:rPr>
        <w:t xml:space="preserve">Valsts un pašvaldību institūciju amatpersonu </w:t>
      </w:r>
      <w:r w:rsidR="00772A53">
        <w:rPr>
          <w:rFonts w:ascii="Times New Roman" w:hAnsi="Times New Roman" w:cs="Times New Roman"/>
          <w:b/>
          <w:sz w:val="24"/>
          <w:szCs w:val="24"/>
        </w:rPr>
        <w:t>un darbinieku atlīdzības likumā</w:t>
      </w:r>
      <w:r w:rsidRPr="00E94D41">
        <w:rPr>
          <w:rFonts w:ascii="Times New Roman" w:hAnsi="Times New Roman" w:cs="Times New Roman"/>
          <w:b/>
          <w:sz w:val="24"/>
          <w:szCs w:val="24"/>
        </w:rPr>
        <w:t xml:space="preserve"> un </w:t>
      </w:r>
      <w:r w:rsidR="00B307D7" w:rsidRPr="00B307D7">
        <w:rPr>
          <w:rFonts w:ascii="Times New Roman" w:hAnsi="Times New Roman" w:cs="Times New Roman"/>
          <w:b/>
          <w:sz w:val="24"/>
          <w:szCs w:val="24"/>
        </w:rPr>
        <w:t>Ministru kabineta 2010.gada 30.novembra noteikumos Nr.1075 “Valsts un pašvaldību institūciju amatu katalogs”</w:t>
      </w:r>
      <w:r w:rsidR="00772A53">
        <w:rPr>
          <w:rFonts w:ascii="Times New Roman" w:hAnsi="Times New Roman" w:cs="Times New Roman"/>
          <w:b/>
          <w:sz w:val="24"/>
          <w:szCs w:val="24"/>
        </w:rPr>
        <w:t xml:space="preserve"> noteikt</w:t>
      </w:r>
      <w:r w:rsidR="00EE35EE">
        <w:rPr>
          <w:rFonts w:ascii="Times New Roman" w:hAnsi="Times New Roman" w:cs="Times New Roman"/>
          <w:b/>
          <w:sz w:val="24"/>
          <w:szCs w:val="24"/>
        </w:rPr>
        <w:t>ās normas</w:t>
      </w:r>
      <w:r w:rsidR="00772A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7D7" w:rsidRPr="00E94D41" w:rsidRDefault="000C21C2" w:rsidP="00EE3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1C2">
        <w:rPr>
          <w:rFonts w:ascii="Times New Roman" w:hAnsi="Times New Roman" w:cs="Times New Roman"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sz w:val="24"/>
          <w:szCs w:val="24"/>
        </w:rPr>
        <w:t xml:space="preserve">administratīvā un aktivitāšu īstenošanas personāla atalgojumu nosaka līdzvērtīgu valsts un pašvaldību amatpersonām noteiktās atalgojuma likmēm par līdzīgas specifikas darbu. </w:t>
      </w:r>
      <w:r w:rsidR="00905E28">
        <w:rPr>
          <w:rFonts w:ascii="Times New Roman" w:hAnsi="Times New Roman" w:cs="Times New Roman"/>
          <w:sz w:val="24"/>
          <w:szCs w:val="24"/>
        </w:rPr>
        <w:t xml:space="preserve">Nosakot atalgojuma likmi, ņem vērā konkrētā personāla kvalifikācijas atbilstību konkrētajai mēnešalgu grupai un tai noteiktajiem atalgojuma griestiem. </w:t>
      </w:r>
    </w:p>
    <w:tbl>
      <w:tblPr>
        <w:tblStyle w:val="Reatabula"/>
        <w:tblW w:w="0" w:type="auto"/>
        <w:jc w:val="center"/>
        <w:tblInd w:w="-975" w:type="dxa"/>
        <w:tblLook w:val="04A0" w:firstRow="1" w:lastRow="0" w:firstColumn="1" w:lastColumn="0" w:noHBand="0" w:noVBand="1"/>
      </w:tblPr>
      <w:tblGrid>
        <w:gridCol w:w="2206"/>
        <w:gridCol w:w="2288"/>
        <w:gridCol w:w="1418"/>
        <w:gridCol w:w="1418"/>
      </w:tblGrid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288" w:type="dxa"/>
          </w:tcPr>
          <w:p w:rsidR="000D017F" w:rsidRPr="00640A9C" w:rsidRDefault="000D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9C">
              <w:rPr>
                <w:rFonts w:ascii="Times New Roman" w:hAnsi="Times New Roman" w:cs="Times New Roman"/>
                <w:b/>
                <w:sz w:val="24"/>
                <w:szCs w:val="24"/>
              </w:rPr>
              <w:t>Amatu saime</w:t>
            </w:r>
          </w:p>
        </w:tc>
        <w:tc>
          <w:tcPr>
            <w:tcW w:w="1418" w:type="dxa"/>
          </w:tcPr>
          <w:p w:rsidR="000D017F" w:rsidRPr="00640A9C" w:rsidRDefault="000D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9C">
              <w:rPr>
                <w:rFonts w:ascii="Times New Roman" w:hAnsi="Times New Roman" w:cs="Times New Roman"/>
                <w:b/>
                <w:sz w:val="24"/>
                <w:szCs w:val="24"/>
              </w:rPr>
              <w:t>Mēnešalgu grupa</w:t>
            </w:r>
          </w:p>
        </w:tc>
        <w:tc>
          <w:tcPr>
            <w:tcW w:w="1418" w:type="dxa"/>
          </w:tcPr>
          <w:p w:rsidR="000D017F" w:rsidRPr="00640A9C" w:rsidRDefault="000D017F" w:rsidP="00E94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9C">
              <w:rPr>
                <w:rFonts w:ascii="Times New Roman" w:hAnsi="Times New Roman" w:cs="Times New Roman"/>
                <w:b/>
                <w:sz w:val="24"/>
                <w:szCs w:val="24"/>
              </w:rPr>
              <w:t>Maksimālā mēnešalga</w:t>
            </w:r>
            <w:r w:rsidR="00E94D41" w:rsidRPr="00640A9C"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Projekta aktivitāšu koordinators:</w:t>
            </w:r>
          </w:p>
        </w:tc>
        <w:tc>
          <w:tcPr>
            <w:tcW w:w="228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32. Projektu vadība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64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D017F" w:rsidRPr="00E94D41">
              <w:rPr>
                <w:rFonts w:ascii="Times New Roman" w:hAnsi="Times New Roman" w:cs="Times New Roman"/>
                <w:sz w:val="24"/>
                <w:szCs w:val="24"/>
              </w:rPr>
              <w:t>ājaslapas</w:t>
            </w:r>
            <w:proofErr w:type="spellEnd"/>
            <w:r w:rsidR="000D017F" w:rsidRPr="00E94D41">
              <w:rPr>
                <w:rFonts w:ascii="Times New Roman" w:hAnsi="Times New Roman" w:cs="Times New Roman"/>
                <w:sz w:val="24"/>
                <w:szCs w:val="24"/>
              </w:rPr>
              <w:t xml:space="preserve"> administrators</w:t>
            </w:r>
          </w:p>
        </w:tc>
        <w:tc>
          <w:tcPr>
            <w:tcW w:w="228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19. Informācijas tehnoloģijas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9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D017F" w:rsidRPr="00E94D41">
              <w:rPr>
                <w:rFonts w:ascii="Times New Roman" w:hAnsi="Times New Roman" w:cs="Times New Roman"/>
                <w:sz w:val="24"/>
                <w:szCs w:val="24"/>
              </w:rPr>
              <w:t>urists</w:t>
            </w:r>
          </w:p>
        </w:tc>
        <w:tc>
          <w:tcPr>
            <w:tcW w:w="228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21.Juridiskā analīze, izpildes kontrole un pakalpojumi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 xml:space="preserve">No 6. </w:t>
            </w:r>
            <w:r w:rsidR="001D4D1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 xml:space="preserve">īdz 12. </w:t>
            </w:r>
            <w:r w:rsidR="001D4D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tkarībā no līmeņa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PR speciālists</w:t>
            </w:r>
          </w:p>
        </w:tc>
        <w:tc>
          <w:tcPr>
            <w:tcW w:w="228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24.Komunikācija un sabiedriskās attiecības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7.,9.,11., 12. atkarībā no līmeņa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 w:rsidR="00905E28">
              <w:rPr>
                <w:rFonts w:ascii="Times New Roman" w:hAnsi="Times New Roman" w:cs="Times New Roman"/>
                <w:sz w:val="24"/>
                <w:szCs w:val="24"/>
              </w:rPr>
              <w:t xml:space="preserve"> (interešu aizstāvība)</w:t>
            </w:r>
          </w:p>
        </w:tc>
        <w:tc>
          <w:tcPr>
            <w:tcW w:w="2288" w:type="dxa"/>
          </w:tcPr>
          <w:p w:rsidR="000D017F" w:rsidRPr="00E94D41" w:rsidRDefault="0090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A62A78">
              <w:rPr>
                <w:rFonts w:ascii="Times New Roman" w:hAnsi="Times New Roman" w:cs="Times New Roman"/>
                <w:sz w:val="24"/>
                <w:szCs w:val="24"/>
              </w:rPr>
              <w:t xml:space="preserve"> Politikas ieviešana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7.,9.,10 atkarībā no līmeņa</w:t>
            </w:r>
          </w:p>
        </w:tc>
        <w:tc>
          <w:tcPr>
            <w:tcW w:w="1418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0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Projekta vadītājs</w:t>
            </w:r>
          </w:p>
        </w:tc>
        <w:tc>
          <w:tcPr>
            <w:tcW w:w="2288" w:type="dxa"/>
          </w:tcPr>
          <w:p w:rsidR="000D017F" w:rsidRPr="00E94D41" w:rsidRDefault="000D017F" w:rsidP="00DE4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32. Projektu vad</w:t>
            </w:r>
            <w:bookmarkStart w:id="0" w:name="_GoBack"/>
            <w:bookmarkEnd w:id="0"/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ība</w:t>
            </w:r>
          </w:p>
        </w:tc>
        <w:tc>
          <w:tcPr>
            <w:tcW w:w="1418" w:type="dxa"/>
          </w:tcPr>
          <w:p w:rsidR="000D017F" w:rsidRPr="00E94D41" w:rsidRDefault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8.-12.atkarībā no līmeņa</w:t>
            </w:r>
          </w:p>
        </w:tc>
        <w:tc>
          <w:tcPr>
            <w:tcW w:w="1418" w:type="dxa"/>
          </w:tcPr>
          <w:p w:rsidR="000D017F" w:rsidRPr="00E94D41" w:rsidRDefault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</w:tr>
      <w:tr w:rsidR="000D017F" w:rsidRPr="00E94D41" w:rsidTr="00640A9C">
        <w:trPr>
          <w:jc w:val="center"/>
        </w:trPr>
        <w:tc>
          <w:tcPr>
            <w:tcW w:w="2206" w:type="dxa"/>
          </w:tcPr>
          <w:p w:rsidR="000D017F" w:rsidRPr="00E94D41" w:rsidRDefault="0064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94D41" w:rsidRPr="00E94D41">
              <w:rPr>
                <w:rFonts w:ascii="Times New Roman" w:hAnsi="Times New Roman" w:cs="Times New Roman"/>
                <w:sz w:val="24"/>
                <w:szCs w:val="24"/>
              </w:rPr>
              <w:t>rāmatvedis</w:t>
            </w:r>
          </w:p>
        </w:tc>
        <w:tc>
          <w:tcPr>
            <w:tcW w:w="2288" w:type="dxa"/>
          </w:tcPr>
          <w:p w:rsidR="000D017F" w:rsidRPr="00E94D41" w:rsidRDefault="00E94D41" w:rsidP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Grāmavedība</w:t>
            </w:r>
          </w:p>
        </w:tc>
        <w:tc>
          <w:tcPr>
            <w:tcW w:w="1418" w:type="dxa"/>
          </w:tcPr>
          <w:p w:rsidR="000D017F" w:rsidRPr="00E94D41" w:rsidRDefault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 xml:space="preserve">5.,8.,9 </w:t>
            </w: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atkarībā no līmeņa</w:t>
            </w:r>
          </w:p>
        </w:tc>
        <w:tc>
          <w:tcPr>
            <w:tcW w:w="1418" w:type="dxa"/>
          </w:tcPr>
          <w:p w:rsidR="000D017F" w:rsidRPr="00E94D41" w:rsidRDefault="00E9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41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</w:tr>
    </w:tbl>
    <w:p w:rsidR="00B115B8" w:rsidRDefault="00B115B8">
      <w:pPr>
        <w:rPr>
          <w:rFonts w:ascii="Times New Roman" w:hAnsi="Times New Roman" w:cs="Times New Roman"/>
          <w:sz w:val="24"/>
          <w:szCs w:val="24"/>
        </w:rPr>
      </w:pPr>
    </w:p>
    <w:p w:rsidR="00EB6B0C" w:rsidRPr="000C21C2" w:rsidRDefault="00EB6B0C" w:rsidP="00EE3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Šīs likmes neattiecas uz ārējo ekspertu</w:t>
      </w:r>
      <w:r w:rsidR="00FA7768">
        <w:rPr>
          <w:rFonts w:ascii="Times New Roman" w:hAnsi="Times New Roman" w:cs="Times New Roman"/>
          <w:sz w:val="24"/>
          <w:szCs w:val="24"/>
        </w:rPr>
        <w:t xml:space="preserve"> un lektoru</w:t>
      </w:r>
      <w:r>
        <w:rPr>
          <w:rFonts w:ascii="Times New Roman" w:hAnsi="Times New Roman" w:cs="Times New Roman"/>
          <w:sz w:val="24"/>
          <w:szCs w:val="24"/>
        </w:rPr>
        <w:t xml:space="preserve"> atalgojumu. Projektā piesaistīto ārējo ekspertu</w:t>
      </w:r>
      <w:r w:rsidR="00790BC0">
        <w:rPr>
          <w:rFonts w:ascii="Times New Roman" w:hAnsi="Times New Roman" w:cs="Times New Roman"/>
          <w:sz w:val="24"/>
          <w:szCs w:val="24"/>
        </w:rPr>
        <w:t xml:space="preserve"> un lektoru </w:t>
      </w:r>
      <w:r>
        <w:rPr>
          <w:rFonts w:ascii="Times New Roman" w:hAnsi="Times New Roman" w:cs="Times New Roman"/>
          <w:sz w:val="24"/>
          <w:szCs w:val="24"/>
        </w:rPr>
        <w:t>atalgojumu proje</w:t>
      </w:r>
      <w:r w:rsidR="00790BC0">
        <w:rPr>
          <w:rFonts w:ascii="Times New Roman" w:hAnsi="Times New Roman" w:cs="Times New Roman"/>
          <w:sz w:val="24"/>
          <w:szCs w:val="24"/>
        </w:rPr>
        <w:t>ktā var plānot atbilstoši vidējā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640A9C">
        <w:rPr>
          <w:rFonts w:ascii="Times New Roman" w:hAnsi="Times New Roman" w:cs="Times New Roman"/>
          <w:sz w:val="24"/>
          <w:szCs w:val="24"/>
        </w:rPr>
        <w:t>attiecīga līmeņa un kvalifikācijas ekspertu un lektoru atalgojuma likmēm</w:t>
      </w:r>
      <w:r w:rsidR="00E83C05">
        <w:rPr>
          <w:rFonts w:ascii="Times New Roman" w:hAnsi="Times New Roman" w:cs="Times New Roman"/>
          <w:sz w:val="24"/>
          <w:szCs w:val="24"/>
        </w:rPr>
        <w:t>, ievērojot izmaksu lietderības un efektivitāti</w:t>
      </w:r>
      <w:r>
        <w:rPr>
          <w:rFonts w:ascii="Times New Roman" w:hAnsi="Times New Roman" w:cs="Times New Roman"/>
          <w:sz w:val="24"/>
          <w:szCs w:val="24"/>
        </w:rPr>
        <w:t xml:space="preserve">. Ārējo ekspertu atalgojuma likmes apmēra skaidrojumu sniedz Projekta iesnieguma veidlapas C 2. Sadaļā “Projekta budžeta pozīciju skaidrojums”. </w:t>
      </w:r>
    </w:p>
    <w:p w:rsidR="00772A53" w:rsidRPr="00E94D41" w:rsidRDefault="00772A53">
      <w:pPr>
        <w:rPr>
          <w:rFonts w:ascii="Times New Roman" w:hAnsi="Times New Roman" w:cs="Times New Roman"/>
          <w:sz w:val="24"/>
          <w:szCs w:val="24"/>
        </w:rPr>
      </w:pPr>
    </w:p>
    <w:sectPr w:rsidR="00772A53" w:rsidRPr="00E94D4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B8"/>
    <w:rsid w:val="00051274"/>
    <w:rsid w:val="000950DC"/>
    <w:rsid w:val="000C21C2"/>
    <w:rsid w:val="000D017F"/>
    <w:rsid w:val="001D4D11"/>
    <w:rsid w:val="00493A58"/>
    <w:rsid w:val="004F4EBC"/>
    <w:rsid w:val="00536395"/>
    <w:rsid w:val="00640A9C"/>
    <w:rsid w:val="00772A53"/>
    <w:rsid w:val="00790BC0"/>
    <w:rsid w:val="007A4CAE"/>
    <w:rsid w:val="00827D97"/>
    <w:rsid w:val="00905E28"/>
    <w:rsid w:val="00A62A78"/>
    <w:rsid w:val="00B115B8"/>
    <w:rsid w:val="00B307D7"/>
    <w:rsid w:val="00D70843"/>
    <w:rsid w:val="00DD11B3"/>
    <w:rsid w:val="00E540FD"/>
    <w:rsid w:val="00E83C05"/>
    <w:rsid w:val="00E94D41"/>
    <w:rsid w:val="00EB6B0C"/>
    <w:rsid w:val="00EE35EE"/>
    <w:rsid w:val="00F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lindamezviete</dc:creator>
  <cp:lastModifiedBy>lindamezviete</cp:lastModifiedBy>
  <cp:revision>17</cp:revision>
  <dcterms:created xsi:type="dcterms:W3CDTF">2017-10-04T07:10:00Z</dcterms:created>
  <dcterms:modified xsi:type="dcterms:W3CDTF">2017-10-04T11:53:00Z</dcterms:modified>
</cp:coreProperties>
</file>